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rPr>
          <w:rFonts w:ascii="黑体" w:hAnsi="黑体" w:eastAsia="黑体" w:cs="宋体"/>
          <w:color w:val="000000"/>
          <w:kern w:val="0"/>
          <w:sz w:val="36"/>
          <w:szCs w:val="36"/>
        </w:rPr>
      </w:pPr>
      <w:r>
        <w:rPr>
          <w:rFonts w:hint="eastAsia" w:ascii="仿宋" w:hAnsi="仿宋" w:eastAsia="仿宋"/>
          <w:sz w:val="28"/>
          <w:szCs w:val="28"/>
        </w:rPr>
        <w:t>附件：</w:t>
      </w:r>
    </w:p>
    <w:p>
      <w:pPr>
        <w:jc w:val="center"/>
        <w:rPr>
          <w:rFonts w:ascii="黑体" w:hAnsi="黑体" w:eastAsia="黑体"/>
          <w:sz w:val="32"/>
          <w:szCs w:val="32"/>
        </w:rPr>
      </w:pPr>
      <w:bookmarkStart w:id="15" w:name="_GoBack"/>
      <w:r>
        <w:rPr>
          <w:rFonts w:hint="eastAsia" w:ascii="黑体" w:hAnsi="黑体" w:eastAsia="黑体"/>
          <w:sz w:val="32"/>
          <w:szCs w:val="32"/>
        </w:rPr>
        <w:t>2020中国·重庆潼南国际柠檬节开幕式（峰会）</w:t>
      </w:r>
    </w:p>
    <w:p>
      <w:pPr>
        <w:jc w:val="center"/>
        <w:rPr>
          <w:rFonts w:ascii="黑体" w:hAnsi="黑体" w:eastAsia="黑体"/>
          <w:sz w:val="32"/>
          <w:szCs w:val="32"/>
        </w:rPr>
      </w:pPr>
      <w:r>
        <w:rPr>
          <w:rFonts w:hint="eastAsia" w:ascii="黑体" w:hAnsi="黑体" w:eastAsia="黑体"/>
          <w:sz w:val="32"/>
          <w:szCs w:val="32"/>
        </w:rPr>
        <w:t>服务采购项目竞争性谈判文件</w:t>
      </w:r>
    </w:p>
    <w:bookmarkEnd w:id="15"/>
    <w:p>
      <w:pPr>
        <w:pStyle w:val="3"/>
        <w:spacing w:line="500" w:lineRule="exact"/>
        <w:ind w:left="0" w:leftChars="0" w:firstLine="480" w:firstLineChars="200"/>
        <w:jc w:val="center"/>
        <w:outlineLvl w:val="0"/>
        <w:rPr>
          <w:rFonts w:ascii="黑体" w:hAnsi="黑体" w:eastAsia="黑体"/>
          <w:color w:val="000000"/>
          <w:sz w:val="24"/>
          <w:szCs w:val="24"/>
        </w:rPr>
      </w:pPr>
    </w:p>
    <w:p>
      <w:pPr>
        <w:pStyle w:val="3"/>
        <w:spacing w:line="500" w:lineRule="exact"/>
        <w:ind w:left="0" w:leftChars="0" w:firstLine="480" w:firstLineChars="200"/>
        <w:jc w:val="center"/>
        <w:outlineLvl w:val="0"/>
        <w:rPr>
          <w:rFonts w:ascii="黑体" w:hAnsi="黑体" w:eastAsia="黑体"/>
          <w:color w:val="000000"/>
          <w:sz w:val="24"/>
          <w:szCs w:val="24"/>
        </w:rPr>
      </w:pPr>
      <w:r>
        <w:rPr>
          <w:rFonts w:hint="eastAsia" w:ascii="黑体" w:hAnsi="黑体" w:eastAsia="黑体"/>
          <w:color w:val="000000"/>
          <w:sz w:val="24"/>
          <w:szCs w:val="24"/>
        </w:rPr>
        <w:t>第一篇  投标人须知</w:t>
      </w:r>
    </w:p>
    <w:p>
      <w:pPr>
        <w:spacing w:line="440" w:lineRule="exact"/>
        <w:rPr>
          <w:rFonts w:ascii="仿宋" w:hAnsi="仿宋" w:eastAsia="仿宋"/>
          <w:sz w:val="24"/>
          <w:szCs w:val="24"/>
        </w:rPr>
      </w:pPr>
    </w:p>
    <w:p>
      <w:pPr>
        <w:widowControl/>
        <w:spacing w:line="520" w:lineRule="exact"/>
        <w:jc w:val="left"/>
        <w:rPr>
          <w:rFonts w:ascii="仿宋" w:hAnsi="仿宋" w:eastAsia="仿宋"/>
          <w:sz w:val="24"/>
          <w:szCs w:val="24"/>
        </w:rPr>
      </w:pPr>
      <w:r>
        <w:rPr>
          <w:rFonts w:hint="eastAsia" w:ascii="仿宋" w:hAnsi="仿宋" w:eastAsia="仿宋"/>
          <w:sz w:val="24"/>
          <w:szCs w:val="24"/>
        </w:rPr>
        <w:t xml:space="preserve">    为办好2020中国·重庆潼南国际柠檬节开幕式（会峰），现就会场服务采购项目进行招标，欢迎合格的供应商参与投标。</w:t>
      </w:r>
    </w:p>
    <w:p>
      <w:pPr>
        <w:spacing w:line="440" w:lineRule="exact"/>
        <w:rPr>
          <w:rFonts w:ascii="仿宋" w:hAnsi="仿宋" w:eastAsia="仿宋"/>
          <w:sz w:val="24"/>
          <w:szCs w:val="24"/>
        </w:rPr>
      </w:pPr>
      <w:r>
        <w:rPr>
          <w:rFonts w:hint="eastAsia" w:ascii="黑体" w:hAnsi="黑体" w:eastAsia="黑体"/>
          <w:sz w:val="24"/>
          <w:szCs w:val="24"/>
        </w:rPr>
        <w:t xml:space="preserve">    一、招标内容</w:t>
      </w:r>
      <w:r>
        <w:rPr>
          <w:rFonts w:ascii="仿宋" w:hAnsi="仿宋" w:eastAsia="仿宋"/>
          <w:sz w:val="24"/>
          <w:szCs w:val="24"/>
        </w:rPr>
        <w:t xml:space="preserve">： </w:t>
      </w:r>
    </w:p>
    <w:tbl>
      <w:tblPr>
        <w:tblStyle w:val="8"/>
        <w:tblW w:w="68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23"/>
        <w:gridCol w:w="195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0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szCs w:val="24"/>
              </w:rPr>
            </w:pPr>
            <w:r>
              <w:rPr>
                <w:rFonts w:hint="eastAsia" w:ascii="仿宋" w:hAnsi="仿宋" w:eastAsia="仿宋"/>
                <w:sz w:val="24"/>
                <w:szCs w:val="24"/>
              </w:rPr>
              <w:t>项目名称</w:t>
            </w:r>
          </w:p>
        </w:tc>
        <w:tc>
          <w:tcPr>
            <w:tcW w:w="1950" w:type="dxa"/>
            <w:tcBorders>
              <w:top w:val="single" w:color="auto" w:sz="4" w:space="0"/>
              <w:left w:val="nil"/>
              <w:bottom w:val="single" w:color="auto" w:sz="4" w:space="0"/>
              <w:right w:val="single" w:color="auto" w:sz="4" w:space="0"/>
            </w:tcBorders>
            <w:vAlign w:val="center"/>
          </w:tcPr>
          <w:p>
            <w:pPr>
              <w:spacing w:line="440" w:lineRule="exact"/>
              <w:jc w:val="center"/>
              <w:rPr>
                <w:rFonts w:ascii="仿宋" w:hAnsi="仿宋" w:eastAsia="仿宋"/>
                <w:sz w:val="24"/>
                <w:szCs w:val="24"/>
              </w:rPr>
            </w:pPr>
            <w:r>
              <w:rPr>
                <w:rFonts w:hint="eastAsia" w:ascii="仿宋" w:hAnsi="仿宋" w:eastAsia="仿宋"/>
                <w:sz w:val="24"/>
                <w:szCs w:val="24"/>
              </w:rPr>
              <w:t>相关要求</w:t>
            </w:r>
          </w:p>
        </w:tc>
        <w:tc>
          <w:tcPr>
            <w:tcW w:w="1860" w:type="dxa"/>
            <w:tcBorders>
              <w:top w:val="single" w:color="auto" w:sz="4" w:space="0"/>
              <w:left w:val="nil"/>
              <w:bottom w:val="single" w:color="auto" w:sz="4" w:space="0"/>
              <w:right w:val="single" w:color="auto" w:sz="4" w:space="0"/>
            </w:tcBorders>
            <w:vAlign w:val="center"/>
          </w:tcPr>
          <w:p>
            <w:pPr>
              <w:spacing w:line="440" w:lineRule="exact"/>
              <w:jc w:val="center"/>
              <w:rPr>
                <w:rFonts w:ascii="仿宋" w:hAnsi="仿宋" w:eastAsia="仿宋"/>
                <w:sz w:val="24"/>
                <w:szCs w:val="24"/>
              </w:rPr>
            </w:pPr>
            <w:r>
              <w:rPr>
                <w:rFonts w:hint="eastAsia" w:ascii="仿宋" w:hAnsi="仿宋" w:eastAsia="仿宋"/>
                <w:sz w:val="24"/>
                <w:szCs w:val="24"/>
              </w:rPr>
              <w:t>最高限价金额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jc w:val="center"/>
        </w:trPr>
        <w:tc>
          <w:tcPr>
            <w:tcW w:w="30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szCs w:val="24"/>
              </w:rPr>
            </w:pPr>
            <w:r>
              <w:rPr>
                <w:rFonts w:hint="eastAsia" w:ascii="仿宋" w:hAnsi="仿宋" w:eastAsia="仿宋"/>
                <w:sz w:val="24"/>
                <w:szCs w:val="24"/>
              </w:rPr>
              <w:t>2020中国·重庆潼南国际柠檬节开幕式（峰会）</w:t>
            </w:r>
          </w:p>
        </w:tc>
        <w:tc>
          <w:tcPr>
            <w:tcW w:w="1950" w:type="dxa"/>
            <w:tcBorders>
              <w:top w:val="single" w:color="auto" w:sz="4" w:space="0"/>
              <w:left w:val="nil"/>
              <w:bottom w:val="single" w:color="auto" w:sz="4" w:space="0"/>
              <w:right w:val="single" w:color="auto" w:sz="4" w:space="0"/>
            </w:tcBorders>
            <w:vAlign w:val="top"/>
          </w:tcPr>
          <w:p>
            <w:pPr>
              <w:spacing w:line="440" w:lineRule="exact"/>
              <w:jc w:val="center"/>
              <w:rPr>
                <w:rFonts w:ascii="仿宋" w:hAnsi="仿宋" w:eastAsia="仿宋"/>
                <w:sz w:val="24"/>
                <w:szCs w:val="24"/>
              </w:rPr>
            </w:pPr>
            <w:r>
              <w:rPr>
                <w:rFonts w:hint="eastAsia" w:ascii="仿宋" w:hAnsi="仿宋" w:eastAsia="仿宋"/>
                <w:sz w:val="24"/>
                <w:szCs w:val="24"/>
              </w:rPr>
              <w:t>按设计方案内容执行</w:t>
            </w:r>
          </w:p>
        </w:tc>
        <w:tc>
          <w:tcPr>
            <w:tcW w:w="1860" w:type="dxa"/>
            <w:tcBorders>
              <w:top w:val="single" w:color="auto" w:sz="4" w:space="0"/>
              <w:left w:val="nil"/>
              <w:bottom w:val="single" w:color="auto" w:sz="4" w:space="0"/>
              <w:right w:val="single" w:color="auto" w:sz="4" w:space="0"/>
            </w:tcBorders>
            <w:vAlign w:val="top"/>
          </w:tcPr>
          <w:p>
            <w:pPr>
              <w:spacing w:line="440" w:lineRule="exact"/>
              <w:jc w:val="center"/>
              <w:rPr>
                <w:rFonts w:ascii="仿宋" w:hAnsi="仿宋" w:eastAsia="仿宋"/>
                <w:sz w:val="24"/>
                <w:szCs w:val="24"/>
              </w:rPr>
            </w:pPr>
            <w:r>
              <w:rPr>
                <w:rFonts w:hint="eastAsia" w:ascii="仿宋" w:hAnsi="仿宋" w:eastAsia="仿宋"/>
                <w:sz w:val="24"/>
                <w:szCs w:val="24"/>
              </w:rPr>
              <w:t>51万元</w:t>
            </w:r>
          </w:p>
        </w:tc>
      </w:tr>
    </w:tbl>
    <w:p>
      <w:pPr>
        <w:pStyle w:val="3"/>
        <w:spacing w:line="440" w:lineRule="exact"/>
        <w:ind w:left="0" w:leftChars="0" w:firstLine="480" w:firstLineChars="200"/>
        <w:outlineLvl w:val="0"/>
        <w:rPr>
          <w:rFonts w:ascii="仿宋" w:hAnsi="仿宋" w:eastAsia="仿宋"/>
          <w:color w:val="000000"/>
          <w:sz w:val="24"/>
          <w:szCs w:val="24"/>
        </w:rPr>
      </w:pPr>
      <w:r>
        <w:rPr>
          <w:rFonts w:hint="eastAsia" w:ascii="仿宋" w:hAnsi="仿宋" w:eastAsia="仿宋"/>
          <w:color w:val="000000"/>
          <w:sz w:val="24"/>
          <w:szCs w:val="24"/>
        </w:rPr>
        <w:t>注：投标人报价不得超过价最高限价，否则按无效投标处理。</w:t>
      </w:r>
    </w:p>
    <w:p>
      <w:pPr>
        <w:widowControl/>
        <w:spacing w:line="500" w:lineRule="exact"/>
        <w:jc w:val="left"/>
        <w:rPr>
          <w:rFonts w:ascii="仿宋" w:hAnsi="仿宋" w:eastAsia="仿宋"/>
          <w:sz w:val="24"/>
          <w:szCs w:val="24"/>
        </w:rPr>
      </w:pPr>
      <w:r>
        <w:rPr>
          <w:rFonts w:hint="eastAsia" w:ascii="黑体" w:hAnsi="黑体" w:eastAsia="黑体"/>
          <w:sz w:val="24"/>
          <w:szCs w:val="24"/>
        </w:rPr>
        <w:t xml:space="preserve">    二、项目说明</w:t>
      </w:r>
      <w:r>
        <w:rPr>
          <w:rFonts w:hint="eastAsia" w:ascii="仿宋" w:hAnsi="仿宋" w:eastAsia="仿宋"/>
          <w:sz w:val="24"/>
          <w:szCs w:val="24"/>
        </w:rPr>
        <w:t>：</w:t>
      </w:r>
    </w:p>
    <w:p>
      <w:pPr>
        <w:widowControl/>
        <w:spacing w:line="500" w:lineRule="exact"/>
        <w:jc w:val="left"/>
        <w:rPr>
          <w:rFonts w:ascii="仿宋" w:hAnsi="仿宋" w:eastAsia="仿宋"/>
          <w:sz w:val="24"/>
          <w:szCs w:val="24"/>
        </w:rPr>
      </w:pPr>
      <w:r>
        <w:rPr>
          <w:rFonts w:hint="eastAsia" w:ascii="仿宋" w:hAnsi="仿宋" w:eastAsia="仿宋"/>
          <w:sz w:val="24"/>
          <w:szCs w:val="24"/>
        </w:rPr>
        <w:t xml:space="preserve">    1、项目地点：潼南区柏梓镇柠檬广场、劲力酒店二楼宴会厅。</w:t>
      </w:r>
    </w:p>
    <w:p>
      <w:pPr>
        <w:widowControl/>
        <w:spacing w:line="500" w:lineRule="exact"/>
        <w:jc w:val="left"/>
        <w:rPr>
          <w:rFonts w:ascii="仿宋" w:hAnsi="仿宋" w:eastAsia="仿宋"/>
          <w:sz w:val="24"/>
          <w:szCs w:val="24"/>
        </w:rPr>
      </w:pPr>
      <w:r>
        <w:rPr>
          <w:rFonts w:hint="eastAsia" w:ascii="仿宋" w:hAnsi="仿宋" w:eastAsia="仿宋"/>
          <w:sz w:val="24"/>
          <w:szCs w:val="24"/>
        </w:rPr>
        <w:t xml:space="preserve">    2、实施内容：按设计方案完成开幕式主会场及展区布置，包括舞台、嘉宾区、展区、广场氛围、安全设施搭建，根据采购方要求完善施工方案并到位执行，配合开幕式执行；完成劲力酒店峰会会场搭建并配合会议执行；承担活动期间安全管理责任。</w:t>
      </w:r>
    </w:p>
    <w:p>
      <w:pPr>
        <w:widowControl/>
        <w:spacing w:line="500" w:lineRule="exact"/>
        <w:jc w:val="left"/>
        <w:rPr>
          <w:rFonts w:ascii="仿宋" w:hAnsi="仿宋" w:eastAsia="仿宋"/>
          <w:sz w:val="24"/>
          <w:szCs w:val="24"/>
        </w:rPr>
      </w:pPr>
      <w:r>
        <w:rPr>
          <w:rFonts w:hint="eastAsia" w:ascii="仿宋" w:hAnsi="仿宋" w:eastAsia="仿宋"/>
          <w:sz w:val="24"/>
          <w:szCs w:val="24"/>
        </w:rPr>
        <w:t xml:space="preserve">    3、实施时间：2020年10月21日</w:t>
      </w:r>
      <w:r>
        <w:rPr>
          <w:rFonts w:hint="eastAsia" w:ascii="仿宋" w:hAnsi="仿宋" w:eastAsia="仿宋"/>
          <w:sz w:val="24"/>
          <w:szCs w:val="24"/>
          <w:lang w:val="en-US" w:eastAsia="zh-CN"/>
        </w:rPr>
        <w:t>17:00</w:t>
      </w:r>
      <w:r>
        <w:rPr>
          <w:rFonts w:hint="eastAsia" w:ascii="仿宋" w:hAnsi="仿宋" w:eastAsia="仿宋"/>
          <w:sz w:val="24"/>
          <w:szCs w:val="24"/>
        </w:rPr>
        <w:t>前完成会场布置准备，10月22日进行设备调试和彩排。柏梓广场保留舞台（基础）、展区等设施至10月24日</w:t>
      </w:r>
      <w:r>
        <w:rPr>
          <w:rFonts w:hint="eastAsia" w:ascii="仿宋" w:hAnsi="仿宋" w:eastAsia="仿宋"/>
          <w:sz w:val="24"/>
          <w:szCs w:val="24"/>
          <w:lang w:val="en-US" w:eastAsia="zh-CN"/>
        </w:rPr>
        <w:t>17:00</w:t>
      </w:r>
      <w:r>
        <w:rPr>
          <w:rFonts w:hint="eastAsia" w:ascii="仿宋" w:hAnsi="仿宋" w:eastAsia="仿宋"/>
          <w:sz w:val="24"/>
          <w:szCs w:val="24"/>
        </w:rPr>
        <w:t>后撤场。</w:t>
      </w:r>
    </w:p>
    <w:p>
      <w:pPr>
        <w:widowControl/>
        <w:spacing w:line="500" w:lineRule="exact"/>
        <w:jc w:val="left"/>
        <w:rPr>
          <w:rFonts w:ascii="黑体" w:hAnsi="黑体" w:eastAsia="黑体"/>
          <w:sz w:val="24"/>
          <w:szCs w:val="24"/>
        </w:rPr>
      </w:pPr>
      <w:r>
        <w:rPr>
          <w:rFonts w:hint="eastAsia" w:ascii="仿宋" w:hAnsi="仿宋" w:eastAsia="仿宋"/>
          <w:sz w:val="28"/>
          <w:szCs w:val="28"/>
        </w:rPr>
        <w:t xml:space="preserve">    </w:t>
      </w:r>
      <w:r>
        <w:rPr>
          <w:rFonts w:hint="eastAsia" w:ascii="黑体" w:hAnsi="黑体" w:eastAsia="黑体"/>
          <w:sz w:val="24"/>
          <w:szCs w:val="24"/>
        </w:rPr>
        <w:t>三、投标人</w:t>
      </w:r>
      <w:r>
        <w:rPr>
          <w:rFonts w:ascii="黑体" w:hAnsi="黑体" w:eastAsia="黑体"/>
          <w:sz w:val="24"/>
          <w:szCs w:val="24"/>
        </w:rPr>
        <w:t>资格要求</w:t>
      </w:r>
    </w:p>
    <w:p>
      <w:pPr>
        <w:spacing w:line="440" w:lineRule="exact"/>
        <w:rPr>
          <w:rFonts w:ascii="仿宋" w:hAnsi="仿宋" w:eastAsia="仿宋"/>
          <w:sz w:val="24"/>
          <w:szCs w:val="24"/>
        </w:rPr>
      </w:pPr>
      <w:r>
        <w:rPr>
          <w:rFonts w:hint="eastAsia" w:ascii="仿宋" w:hAnsi="仿宋" w:eastAsia="仿宋"/>
          <w:sz w:val="24"/>
          <w:szCs w:val="24"/>
        </w:rPr>
        <w:t xml:space="preserve">    （一）具有独立承担民事责任的能力；</w:t>
      </w:r>
    </w:p>
    <w:p>
      <w:pPr>
        <w:spacing w:line="440" w:lineRule="exact"/>
        <w:rPr>
          <w:rFonts w:ascii="仿宋" w:hAnsi="仿宋" w:eastAsia="仿宋"/>
          <w:sz w:val="24"/>
          <w:szCs w:val="24"/>
        </w:rPr>
      </w:pPr>
      <w:r>
        <w:rPr>
          <w:rFonts w:hint="eastAsia" w:ascii="仿宋" w:hAnsi="仿宋" w:eastAsia="仿宋"/>
          <w:sz w:val="24"/>
          <w:szCs w:val="24"/>
        </w:rPr>
        <w:t xml:space="preserve">    （二）具有良好的商业信誉和健全的财务制度；</w:t>
      </w:r>
    </w:p>
    <w:p>
      <w:pPr>
        <w:spacing w:line="440" w:lineRule="exact"/>
        <w:ind w:firstLine="480"/>
        <w:rPr>
          <w:rFonts w:ascii="仿宋" w:hAnsi="仿宋" w:eastAsia="仿宋"/>
          <w:sz w:val="24"/>
          <w:szCs w:val="24"/>
        </w:rPr>
      </w:pPr>
      <w:r>
        <w:rPr>
          <w:rFonts w:hint="eastAsia" w:ascii="仿宋" w:hAnsi="仿宋" w:eastAsia="仿宋"/>
          <w:sz w:val="24"/>
          <w:szCs w:val="24"/>
        </w:rPr>
        <w:t>（三）具有履行合同所必需的专业技术能力；</w:t>
      </w:r>
    </w:p>
    <w:p>
      <w:pPr>
        <w:spacing w:line="440" w:lineRule="exact"/>
        <w:ind w:firstLine="480"/>
        <w:rPr>
          <w:rFonts w:ascii="仿宋" w:hAnsi="仿宋" w:eastAsia="仿宋"/>
          <w:sz w:val="24"/>
          <w:szCs w:val="24"/>
        </w:rPr>
      </w:pPr>
      <w:r>
        <w:rPr>
          <w:rFonts w:hint="eastAsia" w:ascii="仿宋" w:hAnsi="仿宋" w:eastAsia="仿宋"/>
          <w:sz w:val="24"/>
          <w:szCs w:val="24"/>
        </w:rPr>
        <w:t>（四）相关证明（法人证书、营业执照、委托书、身份证复印件）</w:t>
      </w:r>
    </w:p>
    <w:p>
      <w:pPr>
        <w:spacing w:line="440" w:lineRule="exact"/>
        <w:rPr>
          <w:rFonts w:ascii="仿宋" w:hAnsi="仿宋" w:eastAsia="仿宋"/>
          <w:sz w:val="24"/>
          <w:szCs w:val="24"/>
        </w:rPr>
      </w:pPr>
      <w:r>
        <w:rPr>
          <w:rFonts w:hint="eastAsia" w:ascii="仿宋" w:hAnsi="仿宋" w:eastAsia="仿宋"/>
          <w:sz w:val="24"/>
          <w:szCs w:val="24"/>
        </w:rPr>
        <w:t xml:space="preserve">    （五）无法违法记录声明；</w:t>
      </w:r>
    </w:p>
    <w:p>
      <w:pPr>
        <w:spacing w:line="440" w:lineRule="exact"/>
        <w:rPr>
          <w:rFonts w:ascii="仿宋" w:hAnsi="仿宋" w:eastAsia="仿宋"/>
          <w:sz w:val="24"/>
          <w:szCs w:val="24"/>
        </w:rPr>
      </w:pPr>
      <w:r>
        <w:rPr>
          <w:rFonts w:hint="eastAsia" w:ascii="仿宋" w:hAnsi="仿宋" w:eastAsia="仿宋"/>
          <w:sz w:val="24"/>
          <w:szCs w:val="24"/>
        </w:rPr>
        <w:t xml:space="preserve">    （六）具有举办大型节会经验（合同、业绩、图片）。</w:t>
      </w:r>
    </w:p>
    <w:p>
      <w:pPr>
        <w:spacing w:line="440" w:lineRule="exact"/>
        <w:rPr>
          <w:rFonts w:ascii="黑体" w:hAnsi="黑体" w:eastAsia="黑体"/>
          <w:sz w:val="24"/>
          <w:szCs w:val="24"/>
        </w:rPr>
      </w:pPr>
      <w:r>
        <w:rPr>
          <w:rFonts w:hint="eastAsia" w:ascii="黑体" w:hAnsi="黑体" w:eastAsia="黑体"/>
          <w:sz w:val="24"/>
          <w:szCs w:val="24"/>
        </w:rPr>
        <w:t xml:space="preserve">    四、投标、开标有关说明</w:t>
      </w:r>
    </w:p>
    <w:p>
      <w:pPr>
        <w:spacing w:line="440" w:lineRule="exact"/>
        <w:rPr>
          <w:rFonts w:ascii="仿宋" w:hAnsi="仿宋" w:eastAsia="仿宋"/>
          <w:sz w:val="24"/>
          <w:szCs w:val="24"/>
        </w:rPr>
      </w:pPr>
      <w:r>
        <w:rPr>
          <w:rFonts w:hint="eastAsia" w:ascii="仿宋" w:hAnsi="仿宋" w:eastAsia="仿宋"/>
          <w:sz w:val="24"/>
          <w:szCs w:val="24"/>
        </w:rPr>
        <w:t xml:space="preserve">    （一）招标文件公告时间：2020年10月13日至10月15日（公示期3天）</w:t>
      </w:r>
    </w:p>
    <w:p>
      <w:pPr>
        <w:spacing w:line="440" w:lineRule="exact"/>
        <w:rPr>
          <w:rFonts w:ascii="仿宋" w:hAnsi="仿宋" w:eastAsia="仿宋"/>
          <w:sz w:val="24"/>
          <w:szCs w:val="24"/>
        </w:rPr>
      </w:pPr>
      <w:r>
        <w:rPr>
          <w:rFonts w:hint="eastAsia" w:ascii="仿宋" w:hAnsi="仿宋" w:eastAsia="仿宋"/>
          <w:sz w:val="24"/>
          <w:szCs w:val="24"/>
        </w:rPr>
        <w:t xml:space="preserve">    （二）请各投标人提前备齐投标要件，于2020年10月16日上午10:00前递交投标响应文件。</w:t>
      </w:r>
    </w:p>
    <w:p>
      <w:pPr>
        <w:spacing w:line="440" w:lineRule="exact"/>
        <w:rPr>
          <w:rFonts w:ascii="仿宋" w:hAnsi="仿宋" w:eastAsia="仿宋"/>
          <w:sz w:val="24"/>
          <w:szCs w:val="24"/>
        </w:rPr>
      </w:pPr>
      <w:r>
        <w:rPr>
          <w:rFonts w:hint="eastAsia" w:ascii="仿宋" w:hAnsi="仿宋" w:eastAsia="仿宋"/>
          <w:sz w:val="24"/>
          <w:szCs w:val="24"/>
        </w:rPr>
        <w:t xml:space="preserve">    （四）供应商须满足以下二种要件，其投标才被接受：</w:t>
      </w:r>
    </w:p>
    <w:p>
      <w:pPr>
        <w:spacing w:line="440" w:lineRule="exact"/>
        <w:rPr>
          <w:rFonts w:ascii="仿宋" w:hAnsi="仿宋" w:eastAsia="仿宋"/>
          <w:sz w:val="24"/>
          <w:szCs w:val="24"/>
        </w:rPr>
      </w:pPr>
      <w:r>
        <w:rPr>
          <w:rFonts w:hint="eastAsia" w:ascii="仿宋" w:hAnsi="仿宋" w:eastAsia="仿宋"/>
          <w:sz w:val="24"/>
          <w:szCs w:val="24"/>
        </w:rPr>
        <w:t xml:space="preserve">    1、按时递交响应文件；</w:t>
      </w:r>
    </w:p>
    <w:p>
      <w:pPr>
        <w:spacing w:line="440" w:lineRule="exact"/>
        <w:rPr>
          <w:rFonts w:ascii="仿宋" w:hAnsi="仿宋" w:eastAsia="仿宋"/>
          <w:sz w:val="24"/>
          <w:szCs w:val="24"/>
        </w:rPr>
      </w:pPr>
      <w:r>
        <w:rPr>
          <w:rFonts w:hint="eastAsia" w:ascii="仿宋" w:hAnsi="仿宋" w:eastAsia="仿宋"/>
          <w:sz w:val="24"/>
          <w:szCs w:val="24"/>
        </w:rPr>
        <w:t xml:space="preserve">    2、按时报名签到；</w:t>
      </w:r>
    </w:p>
    <w:p>
      <w:pPr>
        <w:spacing w:line="440" w:lineRule="exact"/>
        <w:rPr>
          <w:rFonts w:ascii="仿宋" w:hAnsi="仿宋" w:eastAsia="仿宋"/>
          <w:sz w:val="24"/>
          <w:szCs w:val="24"/>
        </w:rPr>
      </w:pPr>
      <w:r>
        <w:rPr>
          <w:rFonts w:hint="eastAsia" w:ascii="仿宋" w:hAnsi="仿宋" w:eastAsia="仿宋"/>
          <w:sz w:val="24"/>
          <w:szCs w:val="24"/>
        </w:rPr>
        <w:t xml:space="preserve">    （五）投标响应文件递交地点：潼南区传媒集团投融资发展中心（集团三楼办公室）。请各投标人在投标截止时间前将投标文件送到指定地点，并签到。投标截止时间后送到的响应文件将不予以受理。</w:t>
      </w:r>
    </w:p>
    <w:p>
      <w:pPr>
        <w:spacing w:line="440" w:lineRule="exact"/>
        <w:rPr>
          <w:rFonts w:ascii="仿宋" w:hAnsi="仿宋" w:eastAsia="仿宋"/>
          <w:sz w:val="24"/>
          <w:szCs w:val="24"/>
        </w:rPr>
      </w:pPr>
      <w:r>
        <w:rPr>
          <w:rFonts w:hint="eastAsia" w:ascii="仿宋" w:hAnsi="仿宋" w:eastAsia="仿宋"/>
          <w:sz w:val="24"/>
          <w:szCs w:val="24"/>
        </w:rPr>
        <w:t xml:space="preserve">    （六）开标时间：2020年10月16日上午10；00</w:t>
      </w:r>
    </w:p>
    <w:p>
      <w:pPr>
        <w:spacing w:line="440" w:lineRule="exact"/>
        <w:ind w:firstLine="480"/>
        <w:rPr>
          <w:rFonts w:ascii="仿宋" w:hAnsi="仿宋" w:eastAsia="仿宋"/>
          <w:sz w:val="24"/>
          <w:szCs w:val="24"/>
        </w:rPr>
      </w:pPr>
      <w:r>
        <w:rPr>
          <w:rFonts w:hint="eastAsia" w:ascii="仿宋" w:hAnsi="仿宋" w:eastAsia="仿宋"/>
          <w:sz w:val="24"/>
          <w:szCs w:val="24"/>
        </w:rPr>
        <w:t>（七）开标地点：潼南区传媒集团三楼</w:t>
      </w:r>
      <w:bookmarkStart w:id="0" w:name="_Toc29397"/>
      <w:r>
        <w:rPr>
          <w:rFonts w:hint="eastAsia" w:ascii="仿宋" w:hAnsi="仿宋" w:eastAsia="仿宋"/>
          <w:sz w:val="24"/>
          <w:szCs w:val="24"/>
        </w:rPr>
        <w:t>阅览室</w:t>
      </w:r>
    </w:p>
    <w:p>
      <w:pPr>
        <w:spacing w:line="440" w:lineRule="exact"/>
        <w:ind w:firstLine="480"/>
        <w:rPr>
          <w:rFonts w:ascii="黑体" w:hAnsi="黑体" w:eastAsia="黑体"/>
          <w:sz w:val="24"/>
          <w:szCs w:val="24"/>
        </w:rPr>
      </w:pPr>
      <w:r>
        <w:rPr>
          <w:rFonts w:hint="eastAsia" w:ascii="黑体" w:hAnsi="黑体" w:eastAsia="黑体"/>
          <w:sz w:val="24"/>
          <w:szCs w:val="24"/>
        </w:rPr>
        <w:t>五、投标有关规定</w:t>
      </w:r>
      <w:bookmarkEnd w:id="0"/>
    </w:p>
    <w:p>
      <w:pPr>
        <w:spacing w:line="440" w:lineRule="exact"/>
        <w:rPr>
          <w:rFonts w:ascii="仿宋" w:hAnsi="仿宋" w:eastAsia="仿宋"/>
          <w:sz w:val="24"/>
          <w:szCs w:val="24"/>
        </w:rPr>
      </w:pPr>
      <w:r>
        <w:rPr>
          <w:rFonts w:hint="eastAsia" w:ascii="仿宋" w:hAnsi="仿宋" w:eastAsia="仿宋"/>
          <w:sz w:val="24"/>
          <w:szCs w:val="24"/>
        </w:rPr>
        <w:t xml:space="preserve">    1、法定代表人为同一个人的两个及两个以上法人，母公司、全资子公司及其控股公司，不得对同一项目同时进行投标。 </w:t>
      </w:r>
    </w:p>
    <w:p>
      <w:pPr>
        <w:spacing w:line="440" w:lineRule="exact"/>
        <w:rPr>
          <w:rFonts w:ascii="仿宋" w:hAnsi="仿宋" w:eastAsia="仿宋"/>
          <w:sz w:val="24"/>
          <w:szCs w:val="24"/>
        </w:rPr>
      </w:pPr>
      <w:r>
        <w:rPr>
          <w:rFonts w:hint="eastAsia" w:ascii="仿宋" w:hAnsi="仿宋" w:eastAsia="仿宋"/>
          <w:sz w:val="24"/>
          <w:szCs w:val="24"/>
        </w:rPr>
        <w:t xml:space="preserve">    2、单位负责人为同一人或者存在直接控股、管理关系的不同供应商，不得参加同一合同项目投标。</w:t>
      </w:r>
    </w:p>
    <w:p>
      <w:pPr>
        <w:spacing w:line="440" w:lineRule="exact"/>
        <w:rPr>
          <w:rFonts w:ascii="仿宋" w:hAnsi="仿宋" w:eastAsia="仿宋"/>
          <w:sz w:val="24"/>
          <w:szCs w:val="24"/>
        </w:rPr>
      </w:pPr>
      <w:r>
        <w:rPr>
          <w:rFonts w:hint="eastAsia" w:ascii="仿宋" w:hAnsi="仿宋" w:eastAsia="仿宋"/>
          <w:sz w:val="24"/>
          <w:szCs w:val="24"/>
        </w:rPr>
        <w:t xml:space="preserve">    3、本项目不允许分包，转包。</w:t>
      </w:r>
    </w:p>
    <w:p>
      <w:pPr>
        <w:spacing w:line="440" w:lineRule="exact"/>
        <w:rPr>
          <w:rFonts w:ascii="仿宋" w:hAnsi="仿宋" w:eastAsia="仿宋" w:cs="宋体"/>
          <w:color w:val="333333"/>
          <w:kern w:val="0"/>
          <w:sz w:val="24"/>
          <w:szCs w:val="24"/>
        </w:rPr>
      </w:pPr>
      <w:r>
        <w:rPr>
          <w:rFonts w:hint="eastAsia" w:ascii="黑体" w:hAnsi="黑体" w:eastAsia="黑体"/>
          <w:sz w:val="24"/>
          <w:szCs w:val="24"/>
        </w:rPr>
        <w:t xml:space="preserve">    六、联系方式</w:t>
      </w:r>
    </w:p>
    <w:p>
      <w:pPr>
        <w:widowControl/>
        <w:spacing w:after="125" w:line="440" w:lineRule="exact"/>
        <w:jc w:val="left"/>
        <w:rPr>
          <w:rFonts w:ascii="仿宋" w:hAnsi="仿宋" w:eastAsia="仿宋" w:cs="宋体"/>
          <w:color w:val="333333"/>
          <w:kern w:val="0"/>
          <w:sz w:val="24"/>
          <w:szCs w:val="24"/>
        </w:rPr>
      </w:pPr>
      <w:r>
        <w:rPr>
          <w:rFonts w:hint="eastAsia" w:ascii="仿宋" w:hAnsi="仿宋" w:eastAsia="仿宋" w:cs="宋体"/>
          <w:color w:val="333333"/>
          <w:kern w:val="0"/>
          <w:sz w:val="24"/>
          <w:szCs w:val="24"/>
        </w:rPr>
        <w:t xml:space="preserve">    采购人：重庆市潼南区传媒（集团）有限公司</w:t>
      </w:r>
    </w:p>
    <w:p>
      <w:pPr>
        <w:widowControl/>
        <w:spacing w:after="125" w:line="440" w:lineRule="exact"/>
        <w:jc w:val="left"/>
        <w:rPr>
          <w:rFonts w:ascii="仿宋" w:hAnsi="仿宋" w:eastAsia="仿宋" w:cs="宋体"/>
          <w:color w:val="333333"/>
          <w:kern w:val="0"/>
          <w:sz w:val="24"/>
          <w:szCs w:val="24"/>
        </w:rPr>
      </w:pPr>
      <w:r>
        <w:rPr>
          <w:rFonts w:hint="eastAsia" w:ascii="仿宋" w:hAnsi="仿宋" w:eastAsia="仿宋" w:cs="宋体"/>
          <w:color w:val="333333"/>
          <w:kern w:val="0"/>
          <w:sz w:val="24"/>
          <w:szCs w:val="24"/>
        </w:rPr>
        <w:t xml:space="preserve">    采购联系人：杜女士18323196299、徐先生17843686496</w:t>
      </w:r>
    </w:p>
    <w:p>
      <w:pPr>
        <w:widowControl/>
        <w:spacing w:after="125" w:line="440" w:lineRule="exact"/>
        <w:jc w:val="left"/>
        <w:rPr>
          <w:rFonts w:ascii="仿宋" w:hAnsi="仿宋" w:eastAsia="仿宋" w:cs="宋体"/>
          <w:color w:val="333333"/>
          <w:kern w:val="0"/>
          <w:sz w:val="24"/>
          <w:szCs w:val="24"/>
        </w:rPr>
      </w:pPr>
      <w:r>
        <w:rPr>
          <w:rFonts w:hint="eastAsia" w:ascii="仿宋" w:hAnsi="仿宋" w:eastAsia="仿宋" w:cs="宋体"/>
          <w:color w:val="333333"/>
          <w:kern w:val="0"/>
          <w:sz w:val="24"/>
          <w:szCs w:val="24"/>
        </w:rPr>
        <w:t xml:space="preserve">    </w:t>
      </w:r>
    </w:p>
    <w:p>
      <w:pPr>
        <w:pStyle w:val="3"/>
        <w:spacing w:line="440" w:lineRule="exact"/>
        <w:ind w:left="0" w:leftChars="0" w:firstLine="480" w:firstLineChars="200"/>
        <w:jc w:val="center"/>
        <w:outlineLvl w:val="0"/>
        <w:rPr>
          <w:rFonts w:ascii="黑体" w:hAnsi="黑体" w:eastAsia="黑体"/>
          <w:color w:val="000000"/>
          <w:sz w:val="24"/>
          <w:szCs w:val="24"/>
        </w:rPr>
      </w:pPr>
    </w:p>
    <w:p>
      <w:pPr>
        <w:pStyle w:val="3"/>
        <w:spacing w:line="440" w:lineRule="exact"/>
        <w:ind w:left="0" w:leftChars="0" w:firstLine="480" w:firstLineChars="200"/>
        <w:jc w:val="center"/>
        <w:outlineLvl w:val="0"/>
        <w:rPr>
          <w:rFonts w:ascii="黑体" w:hAnsi="黑体" w:eastAsia="黑体"/>
          <w:color w:val="000000"/>
          <w:sz w:val="24"/>
          <w:szCs w:val="24"/>
        </w:rPr>
      </w:pPr>
      <w:r>
        <w:rPr>
          <w:rFonts w:hint="eastAsia" w:ascii="黑体" w:hAnsi="黑体" w:eastAsia="黑体"/>
          <w:color w:val="000000"/>
          <w:sz w:val="24"/>
          <w:szCs w:val="24"/>
        </w:rPr>
        <w:t>第二篇  技术规格、数量及质量要求</w:t>
      </w:r>
    </w:p>
    <w:p>
      <w:pPr>
        <w:spacing w:line="440" w:lineRule="exact"/>
        <w:rPr>
          <w:rFonts w:ascii="黑体" w:hAnsi="黑体" w:eastAsia="黑体"/>
          <w:sz w:val="24"/>
          <w:szCs w:val="24"/>
        </w:rPr>
      </w:pPr>
      <w:r>
        <w:rPr>
          <w:rFonts w:hint="eastAsia" w:ascii="黑体" w:hAnsi="黑体" w:eastAsia="黑体"/>
          <w:sz w:val="24"/>
          <w:szCs w:val="24"/>
        </w:rPr>
        <w:t xml:space="preserve">    </w:t>
      </w:r>
    </w:p>
    <w:p>
      <w:pPr>
        <w:spacing w:line="440" w:lineRule="exact"/>
        <w:rPr>
          <w:rFonts w:ascii="仿宋_GB2312" w:hAnsi="方正仿宋_GBK" w:eastAsia="仿宋_GB2312" w:cs="Lucida Sans Unicode"/>
          <w:bCs/>
          <w:sz w:val="24"/>
          <w:szCs w:val="24"/>
        </w:rPr>
      </w:pPr>
      <w:r>
        <w:rPr>
          <w:rFonts w:hint="eastAsia" w:ascii="黑体" w:hAnsi="黑体" w:eastAsia="黑体"/>
          <w:sz w:val="24"/>
          <w:szCs w:val="24"/>
        </w:rPr>
        <w:t xml:space="preserve">    </w:t>
      </w:r>
      <w:r>
        <w:rPr>
          <w:rFonts w:hint="eastAsia" w:ascii="黑体" w:hAnsi="黑体" w:eastAsia="黑体" w:cs="Lucida Sans Unicode"/>
          <w:bCs/>
          <w:sz w:val="24"/>
          <w:szCs w:val="24"/>
        </w:rPr>
        <w:t>一、项目实施地点及规模</w:t>
      </w:r>
      <w:r>
        <w:rPr>
          <w:rFonts w:hint="eastAsia" w:ascii="仿宋" w:hAnsi="仿宋" w:eastAsia="仿宋"/>
          <w:sz w:val="24"/>
          <w:szCs w:val="24"/>
        </w:rPr>
        <w:t>：潼南区柏梓镇柠檬广场，规模700人左右；劲力酒店二楼宴会厅，规模240人左右。</w:t>
      </w:r>
    </w:p>
    <w:p>
      <w:pPr>
        <w:spacing w:line="440" w:lineRule="exact"/>
        <w:ind w:firstLine="480" w:firstLineChars="200"/>
        <w:jc w:val="left"/>
        <w:outlineLvl w:val="0"/>
        <w:rPr>
          <w:rFonts w:ascii="仿宋_GB2312" w:hAnsi="方正仿宋_GBK" w:eastAsia="仿宋_GB2312" w:cs="Lucida Sans Unicode"/>
          <w:bCs/>
          <w:sz w:val="24"/>
          <w:szCs w:val="24"/>
        </w:rPr>
      </w:pPr>
      <w:r>
        <w:rPr>
          <w:rFonts w:hint="eastAsia" w:ascii="黑体" w:hAnsi="黑体" w:eastAsia="黑体" w:cs="Lucida Sans Unicode"/>
          <w:bCs/>
          <w:sz w:val="24"/>
          <w:szCs w:val="24"/>
        </w:rPr>
        <w:t>二、实施内容</w:t>
      </w:r>
      <w:r>
        <w:rPr>
          <w:rFonts w:hint="eastAsia" w:ascii="仿宋_GB2312" w:hAnsi="方正仿宋_GBK" w:eastAsia="仿宋_GB2312" w:cs="Lucida Sans Unicode"/>
          <w:bCs/>
          <w:sz w:val="24"/>
          <w:szCs w:val="24"/>
        </w:rPr>
        <w:t>：</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1、根据设计方案完善施工架构（设计方案由采购方提供），确保设计方案内容完全呈现，达到采购方认可效果；</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2、组织材器完成柏梓柠檬广场舞台、嘉宾区（500人左右）、农特产品展区、场地氛围营造等工作，提供大型LED、音响等设施设备安装和仪式道具，设计制作广场打卡区艺术造型；完成劲力酒店二楼宴会厅会场搭建；</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3、对柏梓柠檬广场进行安全硬隔离，按全求落实安全防护措施；</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4、根据开幕式和峰会流程安排专业技术人员配合活动执行，做好设备调试、参与彩排；</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5、负责己方设施设备和人员的安全管理，承担活动执行期间的安全管理责任和因此造成的经济损失；</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6、按采购方要求拆场，其中柏梓柠檬广场舞台（基础和音响设备）、农特产品展区、场地氛围等设施保留到10月24日后撤场，隔离设施、嘉宾区桌椅在开幕式结束后撤离。</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7、本服务项目实行总承包，因采购方满足活动需要增加零星物料制作部分不作追加。</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w:t>
      </w:r>
      <w:r>
        <w:rPr>
          <w:rFonts w:hint="eastAsia" w:ascii="黑体" w:hAnsi="黑体" w:eastAsia="黑体" w:cs="Lucida Sans Unicode"/>
          <w:bCs/>
          <w:sz w:val="24"/>
          <w:szCs w:val="24"/>
        </w:rPr>
        <w:t xml:space="preserve"> 三、服务时间</w:t>
      </w:r>
      <w:r>
        <w:rPr>
          <w:rFonts w:hint="eastAsia" w:ascii="仿宋" w:hAnsi="仿宋" w:eastAsia="仿宋"/>
          <w:sz w:val="24"/>
          <w:szCs w:val="24"/>
        </w:rPr>
        <w:t>：按采购方规定时间完成。</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w:t>
      </w:r>
      <w:r>
        <w:rPr>
          <w:rFonts w:hint="eastAsia" w:ascii="黑体" w:hAnsi="黑体" w:eastAsia="黑体" w:cs="Lucida Sans Unicode"/>
          <w:bCs/>
          <w:sz w:val="24"/>
          <w:szCs w:val="24"/>
        </w:rPr>
        <w:t>四、验收：</w:t>
      </w:r>
      <w:r>
        <w:rPr>
          <w:rFonts w:hint="eastAsia" w:ascii="仿宋" w:hAnsi="仿宋" w:eastAsia="仿宋"/>
          <w:sz w:val="24"/>
          <w:szCs w:val="24"/>
        </w:rPr>
        <w:t>由采购方组织相关人员进行验收。</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w:t>
      </w:r>
      <w:r>
        <w:rPr>
          <w:rFonts w:hint="eastAsia" w:ascii="黑体" w:hAnsi="黑体" w:eastAsia="黑体" w:cs="Lucida Sans Unicode"/>
          <w:bCs/>
          <w:sz w:val="24"/>
          <w:szCs w:val="24"/>
        </w:rPr>
        <w:t>五、质量保证及服务要求</w:t>
      </w:r>
    </w:p>
    <w:p>
      <w:pPr>
        <w:spacing w:line="440" w:lineRule="exact"/>
        <w:jc w:val="left"/>
        <w:outlineLvl w:val="0"/>
        <w:rPr>
          <w:rFonts w:ascii="仿宋_GB2312" w:hAnsi="方正仿宋_GBK" w:eastAsia="仿宋_GB2312" w:cs="Lucida Sans Unicode"/>
          <w:bCs/>
          <w:sz w:val="24"/>
          <w:szCs w:val="24"/>
        </w:rPr>
      </w:pPr>
      <w:r>
        <w:rPr>
          <w:rFonts w:hint="eastAsia" w:ascii="仿宋" w:hAnsi="仿宋" w:eastAsia="仿宋"/>
          <w:sz w:val="24"/>
          <w:szCs w:val="24"/>
        </w:rPr>
        <w:t xml:space="preserve">    1、执行进度必须满足开幕式活动需要，于2020年10月21日完成设计方案规定内容，10月22日进行彩排；隔离设施应尽量提前进场，并安排值守人员对氛围营造设施看管维护；展区搭建完工应计算提前量，确保参展单位有充足时间布展；</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2、充分理解设计方案，根据采购方要求进行设计方案局布调整和完善，从质量和美观程度使用材质。舞美和氛围营造材料需达到安全规范要求，接受安全主管部门检查和提供检验报告；</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3、合理设置引导和安全提醒标识，电力线路铺装采取安全覆盖措施，隔离设施必须稳固；</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4、设施设备和技术力量保证活动顺利执行；</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5、根据采购方要求提供防雨设施（大型RUSS棚架）准备；</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6、按照采购方要求提供更为优惠的服务承诺。</w:t>
      </w:r>
    </w:p>
    <w:p>
      <w:pPr>
        <w:spacing w:line="440" w:lineRule="exact"/>
        <w:jc w:val="center"/>
        <w:rPr>
          <w:rFonts w:ascii="黑体" w:hAnsi="黑体" w:eastAsia="黑体"/>
          <w:sz w:val="24"/>
          <w:szCs w:val="24"/>
        </w:rPr>
      </w:pPr>
    </w:p>
    <w:p>
      <w:pPr>
        <w:spacing w:line="440" w:lineRule="exact"/>
        <w:jc w:val="center"/>
        <w:rPr>
          <w:rFonts w:ascii="黑体" w:hAnsi="黑体" w:eastAsia="黑体"/>
          <w:sz w:val="24"/>
          <w:szCs w:val="24"/>
        </w:rPr>
      </w:pPr>
      <w:r>
        <w:rPr>
          <w:rFonts w:hint="eastAsia" w:ascii="黑体" w:hAnsi="黑体" w:eastAsia="黑体"/>
          <w:sz w:val="24"/>
          <w:szCs w:val="24"/>
        </w:rPr>
        <w:t>第三篇  商务要求</w:t>
      </w:r>
    </w:p>
    <w:p>
      <w:pPr>
        <w:spacing w:line="440" w:lineRule="exact"/>
        <w:rPr>
          <w:rFonts w:ascii="仿宋" w:hAnsi="仿宋" w:eastAsia="仿宋"/>
          <w:sz w:val="24"/>
          <w:szCs w:val="24"/>
        </w:rPr>
      </w:pPr>
      <w:bookmarkStart w:id="1" w:name="_Toc385333399"/>
      <w:bookmarkStart w:id="2" w:name="_Toc267320049"/>
      <w:r>
        <w:rPr>
          <w:rFonts w:hint="eastAsia" w:ascii="仿宋" w:hAnsi="仿宋" w:eastAsia="仿宋"/>
          <w:sz w:val="24"/>
          <w:szCs w:val="24"/>
        </w:rPr>
        <w:t xml:space="preserve">    </w:t>
      </w:r>
    </w:p>
    <w:p>
      <w:pPr>
        <w:spacing w:line="440" w:lineRule="exact"/>
        <w:rPr>
          <w:rFonts w:ascii="黑体" w:hAnsi="黑体" w:eastAsia="黑体"/>
          <w:sz w:val="24"/>
          <w:szCs w:val="24"/>
        </w:rPr>
      </w:pPr>
      <w:r>
        <w:rPr>
          <w:rFonts w:hint="eastAsia" w:ascii="仿宋" w:hAnsi="仿宋" w:eastAsia="仿宋"/>
          <w:sz w:val="24"/>
          <w:szCs w:val="24"/>
        </w:rPr>
        <w:t xml:space="preserve">    </w:t>
      </w:r>
      <w:r>
        <w:rPr>
          <w:rFonts w:hint="eastAsia" w:ascii="黑体" w:hAnsi="黑体" w:eastAsia="黑体"/>
          <w:sz w:val="24"/>
          <w:szCs w:val="24"/>
        </w:rPr>
        <w:t>一、</w:t>
      </w:r>
      <w:bookmarkEnd w:id="1"/>
      <w:bookmarkEnd w:id="2"/>
      <w:r>
        <w:rPr>
          <w:rFonts w:hint="eastAsia" w:ascii="黑体" w:hAnsi="黑体" w:eastAsia="黑体"/>
          <w:sz w:val="24"/>
          <w:szCs w:val="24"/>
        </w:rPr>
        <w:t>交付时间、地点及验收方式</w:t>
      </w:r>
    </w:p>
    <w:p>
      <w:pPr>
        <w:spacing w:line="440" w:lineRule="exact"/>
        <w:rPr>
          <w:rFonts w:ascii="仿宋" w:hAnsi="仿宋" w:eastAsia="仿宋"/>
          <w:sz w:val="24"/>
          <w:szCs w:val="24"/>
        </w:rPr>
      </w:pPr>
      <w:r>
        <w:rPr>
          <w:rFonts w:hint="eastAsia" w:ascii="仿宋" w:hAnsi="仿宋" w:eastAsia="仿宋"/>
          <w:sz w:val="24"/>
          <w:szCs w:val="24"/>
        </w:rPr>
        <w:t xml:space="preserve">    （一）交付时间：2020年10月21日（</w:t>
      </w:r>
      <w:r>
        <w:rPr>
          <w:rFonts w:hint="eastAsia" w:ascii="仿宋_GB2312" w:hAnsi="方正仿宋_GBK" w:eastAsia="仿宋_GB2312" w:cs="Lucida Sans Unicode"/>
          <w:bCs/>
          <w:sz w:val="24"/>
          <w:szCs w:val="24"/>
        </w:rPr>
        <w:t>开幕式举行前2天</w:t>
      </w:r>
      <w:r>
        <w:rPr>
          <w:rFonts w:hint="eastAsia" w:ascii="仿宋" w:hAnsi="仿宋" w:eastAsia="仿宋"/>
          <w:sz w:val="24"/>
          <w:szCs w:val="24"/>
        </w:rPr>
        <w:t>）。</w:t>
      </w:r>
    </w:p>
    <w:p>
      <w:pPr>
        <w:spacing w:line="440" w:lineRule="exact"/>
        <w:rPr>
          <w:rFonts w:ascii="仿宋" w:hAnsi="仿宋" w:eastAsia="仿宋"/>
          <w:sz w:val="24"/>
          <w:szCs w:val="24"/>
        </w:rPr>
      </w:pPr>
      <w:r>
        <w:rPr>
          <w:rFonts w:hint="eastAsia" w:ascii="仿宋" w:hAnsi="仿宋" w:eastAsia="仿宋"/>
          <w:sz w:val="24"/>
          <w:szCs w:val="24"/>
        </w:rPr>
        <w:t xml:space="preserve">    （二）地点：</w:t>
      </w:r>
      <w:r>
        <w:rPr>
          <w:rFonts w:hint="eastAsia" w:ascii="仿宋_GB2312" w:hAnsi="方正仿宋_GBK" w:eastAsia="仿宋_GB2312" w:cs="Lucida Sans Unicode"/>
          <w:bCs/>
          <w:sz w:val="24"/>
          <w:szCs w:val="24"/>
        </w:rPr>
        <w:t>柏梓镇柠檬广场、劲力酒店</w:t>
      </w:r>
    </w:p>
    <w:p>
      <w:pPr>
        <w:spacing w:line="440" w:lineRule="exact"/>
        <w:rPr>
          <w:rFonts w:ascii="仿宋" w:hAnsi="仿宋" w:eastAsia="仿宋"/>
          <w:sz w:val="24"/>
          <w:szCs w:val="24"/>
        </w:rPr>
      </w:pPr>
      <w:r>
        <w:rPr>
          <w:rFonts w:hint="eastAsia" w:ascii="仿宋" w:hAnsi="仿宋" w:eastAsia="仿宋"/>
          <w:sz w:val="24"/>
          <w:szCs w:val="24"/>
        </w:rPr>
        <w:t xml:space="preserve">    （三）验收：</w:t>
      </w:r>
      <w:bookmarkStart w:id="3" w:name="_Toc385333400"/>
      <w:bookmarkStart w:id="4" w:name="_Toc267320050"/>
      <w:r>
        <w:rPr>
          <w:rFonts w:hint="eastAsia" w:ascii="仿宋" w:hAnsi="仿宋" w:eastAsia="仿宋"/>
          <w:sz w:val="24"/>
          <w:szCs w:val="24"/>
        </w:rPr>
        <w:t>2020年10月23日由采购方组织人员验收</w:t>
      </w:r>
    </w:p>
    <w:p>
      <w:pPr>
        <w:spacing w:line="440" w:lineRule="exact"/>
        <w:rPr>
          <w:rFonts w:ascii="黑体" w:hAnsi="黑体" w:eastAsia="黑体"/>
          <w:sz w:val="24"/>
          <w:szCs w:val="24"/>
        </w:rPr>
      </w:pPr>
      <w:r>
        <w:rPr>
          <w:rFonts w:hint="eastAsia" w:ascii="黑体" w:hAnsi="黑体" w:eastAsia="黑体"/>
          <w:sz w:val="24"/>
          <w:szCs w:val="24"/>
        </w:rPr>
        <w:t xml:space="preserve">    二、质量保证及售后服务内容：</w:t>
      </w:r>
    </w:p>
    <w:p>
      <w:pPr>
        <w:spacing w:line="440" w:lineRule="exact"/>
        <w:jc w:val="left"/>
        <w:outlineLvl w:val="0"/>
        <w:rPr>
          <w:rFonts w:ascii="仿宋_GB2312" w:hAnsi="方正仿宋_GBK" w:eastAsia="仿宋_GB2312" w:cs="Lucida Sans Unicode"/>
          <w:bCs/>
          <w:sz w:val="24"/>
          <w:szCs w:val="24"/>
        </w:rPr>
      </w:pPr>
      <w:r>
        <w:rPr>
          <w:rFonts w:hint="eastAsia" w:ascii="仿宋" w:hAnsi="仿宋" w:eastAsia="仿宋"/>
          <w:sz w:val="24"/>
          <w:szCs w:val="24"/>
        </w:rPr>
        <w:t xml:space="preserve">    （一）执行进度必须满足开幕式活动需要，于2020年10月21日完成设计方案规定内容，10月22日进行彩排；隔离设施应尽量提前进场，并安排值守人员对氛围营造设施看管维护；展区搭建完工应计算提前量，确保参展单位有充足时间布展；</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（二）充分理解设计方案，根据采购方要求进行设计方案局布调整和完善，从质量和美观程度使用材质。舞美和氛围营造材料需达到安全规范要求，接受安全主管部门检查和提供检验报告；</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（三）合理设置引导和安全提醒标识，电力线路铺装采取安全覆盖措施，隔离设施必须稳固；</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（四）设施设备和技术力量保证活动顺利执行；</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（五）根据采购方要求提供防雨设施（大型RUSS棚架）准备；</w:t>
      </w:r>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（六）按照采购方要求提供更为优惠的服务承诺。</w:t>
      </w:r>
    </w:p>
    <w:p>
      <w:pPr>
        <w:spacing w:line="440" w:lineRule="exact"/>
        <w:jc w:val="left"/>
        <w:outlineLvl w:val="0"/>
        <w:rPr>
          <w:rFonts w:ascii="黑体" w:hAnsi="黑体" w:eastAsia="黑体"/>
          <w:sz w:val="24"/>
          <w:szCs w:val="24"/>
        </w:rPr>
      </w:pPr>
      <w:r>
        <w:rPr>
          <w:rFonts w:hint="eastAsia" w:ascii="黑体" w:hAnsi="黑体" w:eastAsia="黑体"/>
          <w:sz w:val="24"/>
          <w:szCs w:val="24"/>
        </w:rPr>
        <w:t xml:space="preserve">    三、付款方式：</w:t>
      </w:r>
      <w:r>
        <w:rPr>
          <w:rFonts w:hint="eastAsia" w:ascii="仿宋" w:hAnsi="仿宋" w:eastAsia="仿宋"/>
          <w:sz w:val="24"/>
          <w:szCs w:val="24"/>
        </w:rPr>
        <w:t>项目完成验收合格后按合同支付。</w:t>
      </w:r>
    </w:p>
    <w:bookmarkEnd w:id="3"/>
    <w:bookmarkEnd w:id="4"/>
    <w:p>
      <w:pPr>
        <w:spacing w:line="440" w:lineRule="exact"/>
        <w:rPr>
          <w:rFonts w:ascii="黑体" w:hAnsi="黑体" w:eastAsia="黑体"/>
          <w:sz w:val="24"/>
          <w:szCs w:val="24"/>
        </w:rPr>
      </w:pPr>
      <w:bookmarkStart w:id="5" w:name="_Toc3914"/>
      <w:bookmarkStart w:id="6" w:name="_Toc385333403"/>
      <w:bookmarkStart w:id="7" w:name="_Toc267320052"/>
      <w:r>
        <w:rPr>
          <w:rFonts w:hint="eastAsia" w:ascii="仿宋" w:hAnsi="仿宋" w:eastAsia="仿宋"/>
          <w:sz w:val="24"/>
          <w:szCs w:val="24"/>
        </w:rPr>
        <w:t xml:space="preserve">    </w:t>
      </w:r>
      <w:bookmarkEnd w:id="5"/>
      <w:bookmarkEnd w:id="6"/>
      <w:bookmarkEnd w:id="7"/>
      <w:bookmarkStart w:id="8" w:name="_Toc267320054"/>
      <w:bookmarkStart w:id="9" w:name="_Toc385333405"/>
      <w:bookmarkStart w:id="10" w:name="_Toc7009"/>
      <w:r>
        <w:rPr>
          <w:rFonts w:hint="eastAsia" w:ascii="黑体" w:hAnsi="黑体" w:eastAsia="黑体"/>
          <w:sz w:val="24"/>
          <w:szCs w:val="24"/>
        </w:rPr>
        <w:t>四、其他</w:t>
      </w:r>
      <w:bookmarkEnd w:id="8"/>
      <w:bookmarkEnd w:id="9"/>
      <w:bookmarkEnd w:id="10"/>
    </w:p>
    <w:p>
      <w:pPr>
        <w:spacing w:line="440" w:lineRule="exact"/>
        <w:jc w:val="left"/>
        <w:outlineLvl w:val="0"/>
        <w:rPr>
          <w:rFonts w:ascii="仿宋" w:hAnsi="仿宋" w:eastAsia="仿宋"/>
          <w:sz w:val="24"/>
          <w:szCs w:val="24"/>
        </w:rPr>
      </w:pPr>
      <w:r>
        <w:rPr>
          <w:rFonts w:hint="eastAsia" w:ascii="仿宋" w:hAnsi="仿宋" w:eastAsia="仿宋"/>
          <w:sz w:val="24"/>
          <w:szCs w:val="24"/>
        </w:rPr>
        <w:t xml:space="preserve">    其他未尽事宜由供需双方在采购合同中详细约定。</w:t>
      </w:r>
    </w:p>
    <w:p>
      <w:pPr>
        <w:spacing w:line="440" w:lineRule="exact"/>
        <w:jc w:val="center"/>
        <w:rPr>
          <w:rFonts w:ascii="黑体" w:hAnsi="黑体" w:eastAsia="黑体"/>
          <w:sz w:val="24"/>
          <w:szCs w:val="24"/>
        </w:rPr>
      </w:pPr>
    </w:p>
    <w:p>
      <w:pPr>
        <w:spacing w:line="440" w:lineRule="exact"/>
        <w:jc w:val="center"/>
        <w:rPr>
          <w:rFonts w:ascii="黑体" w:hAnsi="黑体" w:eastAsia="黑体"/>
          <w:sz w:val="24"/>
          <w:szCs w:val="24"/>
        </w:rPr>
      </w:pPr>
      <w:r>
        <w:rPr>
          <w:rFonts w:hint="eastAsia" w:ascii="黑体" w:hAnsi="黑体" w:eastAsia="黑体"/>
          <w:sz w:val="24"/>
          <w:szCs w:val="24"/>
        </w:rPr>
        <w:t>第四篇  谈判方式、评标方法、无效投标</w:t>
      </w:r>
      <w:bookmarkStart w:id="11" w:name="_Toc6089"/>
      <w:r>
        <w:rPr>
          <w:rFonts w:hint="eastAsia" w:ascii="黑体" w:hAnsi="黑体" w:eastAsia="黑体"/>
          <w:sz w:val="24"/>
          <w:szCs w:val="24"/>
        </w:rPr>
        <w:t>条款和废标条款</w:t>
      </w:r>
      <w:bookmarkEnd w:id="11"/>
    </w:p>
    <w:p>
      <w:pPr>
        <w:spacing w:line="440" w:lineRule="exact"/>
        <w:rPr>
          <w:rFonts w:ascii="黑体" w:hAnsi="黑体" w:eastAsia="黑体"/>
          <w:sz w:val="24"/>
          <w:szCs w:val="24"/>
        </w:rPr>
      </w:pPr>
      <w:bookmarkStart w:id="12" w:name="_Toc29525"/>
      <w:r>
        <w:rPr>
          <w:rFonts w:hint="eastAsia" w:ascii="仿宋" w:hAnsi="仿宋" w:eastAsia="仿宋"/>
          <w:sz w:val="24"/>
          <w:szCs w:val="24"/>
        </w:rPr>
        <w:t xml:space="preserve">    </w:t>
      </w:r>
      <w:r>
        <w:rPr>
          <w:rFonts w:hint="eastAsia" w:ascii="黑体" w:hAnsi="黑体" w:eastAsia="黑体"/>
          <w:sz w:val="24"/>
          <w:szCs w:val="24"/>
        </w:rPr>
        <w:t xml:space="preserve"> </w:t>
      </w:r>
    </w:p>
    <w:p>
      <w:pPr>
        <w:spacing w:line="440" w:lineRule="exact"/>
        <w:rPr>
          <w:rFonts w:ascii="黑体" w:hAnsi="黑体" w:eastAsia="黑体"/>
          <w:sz w:val="24"/>
          <w:szCs w:val="24"/>
        </w:rPr>
      </w:pPr>
      <w:r>
        <w:rPr>
          <w:rFonts w:hint="eastAsia" w:ascii="黑体" w:hAnsi="黑体" w:eastAsia="黑体"/>
          <w:sz w:val="24"/>
          <w:szCs w:val="24"/>
        </w:rPr>
        <w:t xml:space="preserve">    一、谈判方式</w:t>
      </w:r>
    </w:p>
    <w:p>
      <w:pPr>
        <w:spacing w:line="440" w:lineRule="exact"/>
        <w:rPr>
          <w:rFonts w:ascii="仿宋" w:hAnsi="仿宋" w:eastAsia="仿宋"/>
          <w:sz w:val="24"/>
          <w:szCs w:val="24"/>
        </w:rPr>
      </w:pPr>
      <w:r>
        <w:rPr>
          <w:rFonts w:hint="eastAsia" w:ascii="黑体" w:hAnsi="黑体" w:eastAsia="黑体"/>
          <w:sz w:val="24"/>
          <w:szCs w:val="24"/>
        </w:rPr>
        <w:t xml:space="preserve">    </w:t>
      </w:r>
      <w:r>
        <w:rPr>
          <w:rFonts w:hint="eastAsia" w:ascii="仿宋" w:hAnsi="仿宋" w:eastAsia="仿宋"/>
          <w:sz w:val="24"/>
          <w:szCs w:val="24"/>
        </w:rPr>
        <w:t>（一）本次谈判由区传媒集团组建谈判小组实施，根据提交响应文件顺序确定谈判顺序。</w:t>
      </w:r>
    </w:p>
    <w:p>
      <w:pPr>
        <w:spacing w:line="440" w:lineRule="exact"/>
        <w:rPr>
          <w:rFonts w:ascii="仿宋" w:hAnsi="仿宋" w:eastAsia="仿宋"/>
          <w:sz w:val="24"/>
          <w:szCs w:val="24"/>
        </w:rPr>
      </w:pPr>
      <w:r>
        <w:rPr>
          <w:rFonts w:hint="eastAsia" w:ascii="仿宋" w:hAnsi="仿宋" w:eastAsia="仿宋"/>
          <w:sz w:val="24"/>
          <w:szCs w:val="24"/>
        </w:rPr>
        <w:t xml:space="preserve">    （二）谈判开始前，由谈判小组成员对投标人进行资格审查，资格审查合格的投标人进入谈判程序。</w:t>
      </w:r>
    </w:p>
    <w:p>
      <w:pPr>
        <w:spacing w:line="440" w:lineRule="exact"/>
        <w:rPr>
          <w:rFonts w:ascii="仿宋" w:hAnsi="仿宋" w:eastAsia="仿宋"/>
          <w:sz w:val="24"/>
          <w:szCs w:val="24"/>
        </w:rPr>
      </w:pPr>
      <w:r>
        <w:rPr>
          <w:rFonts w:hint="eastAsia" w:ascii="仿宋" w:hAnsi="仿宋" w:eastAsia="仿宋"/>
          <w:sz w:val="24"/>
          <w:szCs w:val="24"/>
        </w:rPr>
        <w:t xml:space="preserve">    （三）谈判小组与所有投标人进行一轮谈判。按以下方式进行：</w:t>
      </w:r>
    </w:p>
    <w:p>
      <w:pPr>
        <w:spacing w:line="440" w:lineRule="exact"/>
        <w:rPr>
          <w:rFonts w:ascii="仿宋" w:hAnsi="仿宋" w:eastAsia="仿宋"/>
          <w:sz w:val="24"/>
          <w:szCs w:val="24"/>
        </w:rPr>
      </w:pPr>
      <w:r>
        <w:rPr>
          <w:rFonts w:hint="eastAsia" w:ascii="仿宋" w:hAnsi="仿宋" w:eastAsia="仿宋"/>
          <w:sz w:val="24"/>
          <w:szCs w:val="24"/>
        </w:rPr>
        <w:t xml:space="preserve">    1、投标人对技术和服务内容进行响应说明；</w:t>
      </w:r>
    </w:p>
    <w:p>
      <w:pPr>
        <w:spacing w:line="440" w:lineRule="exact"/>
        <w:rPr>
          <w:rFonts w:ascii="仿宋" w:hAnsi="仿宋" w:eastAsia="仿宋"/>
          <w:sz w:val="24"/>
          <w:szCs w:val="24"/>
        </w:rPr>
      </w:pPr>
      <w:r>
        <w:rPr>
          <w:rFonts w:hint="eastAsia" w:ascii="仿宋" w:hAnsi="仿宋" w:eastAsia="仿宋"/>
          <w:sz w:val="24"/>
          <w:szCs w:val="24"/>
        </w:rPr>
        <w:t xml:space="preserve">    2、谈判小组成员细节质询，投标人回应质询。投标人可根据谈判情况对技术、服务、价格进行承诺，作为合同草案内容；</w:t>
      </w:r>
    </w:p>
    <w:p>
      <w:pPr>
        <w:spacing w:line="440" w:lineRule="exact"/>
        <w:rPr>
          <w:rFonts w:ascii="仿宋" w:hAnsi="仿宋" w:eastAsia="仿宋"/>
          <w:sz w:val="24"/>
          <w:szCs w:val="24"/>
        </w:rPr>
      </w:pPr>
      <w:r>
        <w:rPr>
          <w:rFonts w:hint="eastAsia" w:ascii="仿宋" w:hAnsi="仿宋" w:eastAsia="仿宋"/>
          <w:sz w:val="24"/>
          <w:szCs w:val="24"/>
        </w:rPr>
        <w:t xml:space="preserve">    3、投标人提交最后报价。最后报价作为响应文件有效组成部分，由投标人签字确认。</w:t>
      </w:r>
    </w:p>
    <w:p>
      <w:pPr>
        <w:spacing w:line="440" w:lineRule="exact"/>
        <w:rPr>
          <w:rFonts w:ascii="黑体" w:hAnsi="黑体" w:eastAsia="黑体"/>
          <w:sz w:val="24"/>
          <w:szCs w:val="24"/>
        </w:rPr>
      </w:pPr>
      <w:r>
        <w:rPr>
          <w:rFonts w:hint="eastAsia" w:ascii="黑体" w:hAnsi="黑体" w:eastAsia="黑体"/>
          <w:sz w:val="24"/>
          <w:szCs w:val="24"/>
        </w:rPr>
        <w:t xml:space="preserve">    二、评标方法</w:t>
      </w:r>
      <w:bookmarkEnd w:id="12"/>
    </w:p>
    <w:p>
      <w:pPr>
        <w:spacing w:line="440" w:lineRule="exact"/>
        <w:rPr>
          <w:rFonts w:ascii="黑体" w:hAnsi="黑体" w:eastAsia="黑体"/>
          <w:sz w:val="24"/>
          <w:szCs w:val="24"/>
        </w:rPr>
      </w:pPr>
      <w:r>
        <w:rPr>
          <w:rFonts w:hint="eastAsia" w:ascii="黑体" w:hAnsi="黑体" w:eastAsia="黑体"/>
          <w:sz w:val="24"/>
          <w:szCs w:val="24"/>
        </w:rPr>
        <w:t xml:space="preserve">    </w:t>
      </w:r>
      <w:r>
        <w:rPr>
          <w:rFonts w:hint="eastAsia" w:ascii="仿宋" w:hAnsi="仿宋" w:eastAsia="仿宋"/>
          <w:sz w:val="24"/>
          <w:szCs w:val="24"/>
        </w:rPr>
        <w:t>（一）谈判结束后，由谈判小组根据谈判情况，在满足服务标准要求前提下进行综合评标。</w:t>
      </w:r>
    </w:p>
    <w:p>
      <w:pPr>
        <w:spacing w:line="440" w:lineRule="exact"/>
        <w:rPr>
          <w:rFonts w:ascii="仿宋" w:hAnsi="仿宋" w:eastAsia="仿宋"/>
          <w:sz w:val="24"/>
          <w:szCs w:val="24"/>
        </w:rPr>
      </w:pPr>
      <w:r>
        <w:rPr>
          <w:rFonts w:hint="eastAsia" w:ascii="仿宋" w:hAnsi="仿宋" w:eastAsia="仿宋"/>
          <w:sz w:val="24"/>
          <w:szCs w:val="24"/>
        </w:rPr>
        <w:t xml:space="preserve">    （二）综合评标得分为价格、商务、服务等部分组成，评定因素分别按照相应权重值计算分项，各项得分相加满分为100分。</w:t>
      </w:r>
    </w:p>
    <w:p>
      <w:pPr>
        <w:spacing w:line="440" w:lineRule="exact"/>
        <w:rPr>
          <w:rFonts w:ascii="仿宋" w:hAnsi="仿宋" w:eastAsia="仿宋"/>
          <w:sz w:val="24"/>
          <w:szCs w:val="24"/>
        </w:rPr>
      </w:pPr>
      <w:r>
        <w:rPr>
          <w:rFonts w:hint="eastAsia" w:ascii="仿宋" w:hAnsi="仿宋" w:eastAsia="仿宋"/>
          <w:sz w:val="24"/>
          <w:szCs w:val="24"/>
        </w:rPr>
        <w:t xml:space="preserve">    （三）综合评标法评分标准和细则</w:t>
      </w:r>
    </w:p>
    <w:tbl>
      <w:tblPr>
        <w:tblStyle w:val="8"/>
        <w:tblpPr w:leftFromText="180" w:rightFromText="180" w:vertAnchor="text" w:horzAnchor="page" w:tblpX="1830" w:tblpY="29"/>
        <w:tblOverlap w:val="never"/>
        <w:tblW w:w="85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75"/>
        <w:gridCol w:w="6587"/>
        <w:gridCol w:w="7"/>
        <w:gridCol w:w="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1"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宋体" w:eastAsia="仿宋_GB2312"/>
                <w:color w:val="000000"/>
                <w:szCs w:val="21"/>
              </w:rPr>
            </w:pPr>
            <w:r>
              <w:rPr>
                <w:rFonts w:hint="eastAsia" w:ascii="仿宋_GB2312" w:hAnsi="宋体" w:eastAsia="仿宋_GB2312"/>
                <w:color w:val="000000"/>
                <w:szCs w:val="21"/>
              </w:rPr>
              <w:t>项目</w:t>
            </w:r>
          </w:p>
        </w:tc>
        <w:tc>
          <w:tcPr>
            <w:tcW w:w="659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宋体" w:eastAsia="仿宋_GB2312"/>
                <w:color w:val="000000"/>
                <w:szCs w:val="21"/>
              </w:rPr>
            </w:pPr>
            <w:r>
              <w:rPr>
                <w:rFonts w:hint="eastAsia" w:ascii="仿宋_GB2312" w:hAnsi="宋体" w:eastAsia="仿宋_GB2312"/>
                <w:color w:val="000000"/>
                <w:szCs w:val="21"/>
              </w:rPr>
              <w:t>评分标准</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宋体" w:eastAsia="仿宋_GB2312"/>
                <w:color w:val="000000"/>
                <w:szCs w:val="21"/>
              </w:rPr>
            </w:pPr>
            <w:r>
              <w:rPr>
                <w:rFonts w:hint="eastAsia" w:ascii="仿宋_GB2312" w:hAnsi="宋体" w:eastAsia="仿宋_GB2312"/>
                <w:color w:val="000000"/>
                <w:szCs w:val="21"/>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9"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价格部分      （30分）</w:t>
            </w:r>
          </w:p>
        </w:tc>
        <w:tc>
          <w:tcPr>
            <w:tcW w:w="6594" w:type="dxa"/>
            <w:gridSpan w:val="2"/>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满足项目技术规格和质量要求，以投标人最终报价的最低价作为评标基准价，其价格分为30分。其他投标人的价格分统一按照下列公式计算：报价得分＝（评标基准价/最终报价）×30；得分保留至小数点后两位，两位小数位后的实行四舍五入。</w:t>
            </w:r>
          </w:p>
        </w:tc>
        <w:tc>
          <w:tcPr>
            <w:tcW w:w="635"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0" w:hRule="atLeast"/>
        </w:trPr>
        <w:tc>
          <w:tcPr>
            <w:tcW w:w="1275" w:type="dxa"/>
            <w:vMerge w:val="restart"/>
            <w:tcBorders>
              <w:top w:val="single" w:color="000000" w:sz="4" w:space="0"/>
              <w:left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p>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商务部分      （40分）</w:t>
            </w:r>
          </w:p>
        </w:tc>
        <w:tc>
          <w:tcPr>
            <w:tcW w:w="6594" w:type="dxa"/>
            <w:gridSpan w:val="2"/>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1、充分理解舞美造型核心意义，完善设计内容并合理编制施工方案确保设计效果呈现，具备执行类似大型节会活动经验和能力。总分15分，其中优得15分、良得12分、一般得10分、差不得分。</w:t>
            </w:r>
          </w:p>
        </w:tc>
        <w:tc>
          <w:tcPr>
            <w:tcW w:w="635"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0" w:hRule="atLeast"/>
        </w:trPr>
        <w:tc>
          <w:tcPr>
            <w:tcW w:w="1275" w:type="dxa"/>
            <w:vMerge w:val="continue"/>
            <w:tcBorders>
              <w:top w:val="single" w:color="000000" w:sz="4" w:space="0"/>
              <w:left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p>
        </w:tc>
        <w:tc>
          <w:tcPr>
            <w:tcW w:w="6594" w:type="dxa"/>
            <w:gridSpan w:val="2"/>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2、提供LED、音响、开幕式道具等技术参数，编制实施内容明细表（价格一览表），提供材质、工艺说明，技术指标达到活动举办要求。总分10分，其中优得10分、良得8分、一般得6分、差不得分。</w:t>
            </w:r>
          </w:p>
        </w:tc>
        <w:tc>
          <w:tcPr>
            <w:tcW w:w="635"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6" w:hRule="atLeast"/>
        </w:trPr>
        <w:tc>
          <w:tcPr>
            <w:tcW w:w="1275" w:type="dxa"/>
            <w:vMerge w:val="continue"/>
            <w:tcBorders>
              <w:left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p>
        </w:tc>
        <w:tc>
          <w:tcPr>
            <w:tcW w:w="6594" w:type="dxa"/>
            <w:gridSpan w:val="2"/>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3、安全因素考虑充分，大型桁架、主体造型符合安全检测标准，提供完备的安全管理措施。总分10分，其中优得10分、良得8分、一般得6分、差不得分。</w:t>
            </w:r>
          </w:p>
        </w:tc>
        <w:tc>
          <w:tcPr>
            <w:tcW w:w="635"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8" w:hRule="atLeast"/>
        </w:trPr>
        <w:tc>
          <w:tcPr>
            <w:tcW w:w="1275" w:type="dxa"/>
            <w:vMerge w:val="continue"/>
            <w:tcBorders>
              <w:left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p>
        </w:tc>
        <w:tc>
          <w:tcPr>
            <w:tcW w:w="6594" w:type="dxa"/>
            <w:gridSpan w:val="2"/>
            <w:tcBorders>
              <w:top w:val="single" w:color="000000" w:sz="4" w:space="0"/>
              <w:left w:val="single" w:color="000000" w:sz="4" w:space="0"/>
              <w:right w:val="single" w:color="000000" w:sz="4" w:space="0"/>
            </w:tcBorders>
            <w:vAlign w:val="center"/>
          </w:tcPr>
          <w:p>
            <w:pPr>
              <w:pStyle w:val="6"/>
              <w:snapToGrid w:val="0"/>
              <w:spacing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5、投标人业绩佐证，2018年以来参与过2次以上相关大型活动执行并取得圆满成功，执行效果佳。总分5分，其中优得5分、良得3分、一般得2分、差不得分。</w:t>
            </w:r>
          </w:p>
        </w:tc>
        <w:tc>
          <w:tcPr>
            <w:tcW w:w="635" w:type="dxa"/>
            <w:tcBorders>
              <w:top w:val="single" w:color="000000" w:sz="4" w:space="0"/>
              <w:left w:val="single" w:color="000000" w:sz="4" w:space="0"/>
              <w:right w:val="single" w:color="000000" w:sz="4" w:space="0"/>
            </w:tcBorders>
            <w:vAlign w:val="center"/>
          </w:tcPr>
          <w:p>
            <w:pPr>
              <w:pStyle w:val="6"/>
              <w:snapToGrid w:val="0"/>
              <w:spacing w:line="300" w:lineRule="exact"/>
              <w:jc w:val="center"/>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8" w:hRule="atLeast"/>
        </w:trPr>
        <w:tc>
          <w:tcPr>
            <w:tcW w:w="1275" w:type="dxa"/>
            <w:vMerge w:val="restart"/>
            <w:tcBorders>
              <w:top w:val="single" w:color="auto" w:sz="4" w:space="0"/>
              <w:left w:val="single" w:color="000000" w:sz="4" w:space="0"/>
              <w:bottom w:val="single" w:color="000000" w:sz="4" w:space="0"/>
              <w:right w:val="single" w:color="auto"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服务部分（30分）</w:t>
            </w:r>
          </w:p>
        </w:tc>
        <w:tc>
          <w:tcPr>
            <w:tcW w:w="6594" w:type="dxa"/>
            <w:gridSpan w:val="2"/>
            <w:tcBorders>
              <w:top w:val="single" w:color="000000" w:sz="4" w:space="0"/>
              <w:left w:val="single" w:color="auto" w:sz="4" w:space="0"/>
              <w:bottom w:val="single" w:color="auto"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1、项目人员配备是否充分和技术力量是否雄厚。（设计师、音控师、舞台执行等是否专业）。总分10分，其中优得10分，良得8分，一般得6分，差不得分。</w:t>
            </w:r>
          </w:p>
        </w:tc>
        <w:tc>
          <w:tcPr>
            <w:tcW w:w="635" w:type="dxa"/>
            <w:tcBorders>
              <w:top w:val="single" w:color="000000" w:sz="4" w:space="0"/>
              <w:left w:val="single" w:color="000000" w:sz="4" w:space="0"/>
              <w:bottom w:val="single" w:color="auto" w:sz="4" w:space="0"/>
              <w:right w:val="single" w:color="000000" w:sz="4" w:space="0"/>
            </w:tcBorders>
            <w:vAlign w:val="center"/>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trPr>
        <w:tc>
          <w:tcPr>
            <w:tcW w:w="1275" w:type="dxa"/>
            <w:vMerge w:val="continue"/>
            <w:tcBorders>
              <w:top w:val="single" w:color="auto" w:sz="4" w:space="0"/>
              <w:left w:val="single" w:color="000000" w:sz="4" w:space="0"/>
              <w:bottom w:val="single" w:color="000000" w:sz="4" w:space="0"/>
              <w:right w:val="single" w:color="auto"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p>
        </w:tc>
        <w:tc>
          <w:tcPr>
            <w:tcW w:w="6594" w:type="dxa"/>
            <w:gridSpan w:val="2"/>
            <w:tcBorders>
              <w:top w:val="single" w:color="000000" w:sz="4" w:space="0"/>
              <w:left w:val="single" w:color="auto" w:sz="4" w:space="0"/>
              <w:bottom w:val="single" w:color="auto"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2、执行能力是否过硬，项目的进度、控制措施可靠，达到采购人时间进度要求。总分10分，其中优得10分，良得8分，一般得6分，差不得。</w:t>
            </w:r>
          </w:p>
        </w:tc>
        <w:tc>
          <w:tcPr>
            <w:tcW w:w="635" w:type="dxa"/>
            <w:tcBorders>
              <w:top w:val="single" w:color="000000" w:sz="4" w:space="0"/>
              <w:left w:val="single" w:color="000000" w:sz="4" w:space="0"/>
              <w:bottom w:val="single" w:color="auto" w:sz="4" w:space="0"/>
              <w:right w:val="single" w:color="000000" w:sz="4" w:space="0"/>
            </w:tcBorders>
            <w:vAlign w:val="center"/>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1275" w:type="dxa"/>
            <w:vMerge w:val="continue"/>
            <w:tcBorders>
              <w:top w:val="single" w:color="auto" w:sz="4" w:space="0"/>
              <w:left w:val="single" w:color="000000" w:sz="4" w:space="0"/>
              <w:bottom w:val="single" w:color="000000" w:sz="4" w:space="0"/>
              <w:right w:val="single" w:color="auto"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p>
        </w:tc>
        <w:tc>
          <w:tcPr>
            <w:tcW w:w="6587" w:type="dxa"/>
            <w:tcBorders>
              <w:top w:val="single" w:color="auto" w:sz="4" w:space="0"/>
              <w:left w:val="single" w:color="auto"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3、提供更优化的设计服务，对临时调整提供及时到位服务，按采购方要求撤场。总分10分，其中优得10分，良得8分，一般得6分，差不得分。</w:t>
            </w:r>
          </w:p>
        </w:tc>
        <w:tc>
          <w:tcPr>
            <w:tcW w:w="642" w:type="dxa"/>
            <w:gridSpan w:val="2"/>
            <w:tcBorders>
              <w:top w:val="single" w:color="auto" w:sz="4" w:space="0"/>
              <w:left w:val="single" w:color="000000" w:sz="4" w:space="0"/>
              <w:right w:val="single" w:color="auto" w:sz="4" w:space="0"/>
            </w:tcBorders>
            <w:vAlign w:val="center"/>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9" w:hRule="atLeast"/>
        </w:trPr>
        <w:tc>
          <w:tcPr>
            <w:tcW w:w="7862"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宋体" w:eastAsia="仿宋_GB2312"/>
                <w:color w:val="000000"/>
                <w:szCs w:val="21"/>
              </w:rPr>
            </w:pPr>
            <w:r>
              <w:rPr>
                <w:rFonts w:hint="eastAsia" w:ascii="仿宋_GB2312" w:hAnsi="宋体" w:eastAsia="仿宋_GB2312"/>
                <w:color w:val="000000"/>
                <w:szCs w:val="21"/>
              </w:rPr>
              <w:t>合      计</w:t>
            </w:r>
          </w:p>
        </w:tc>
        <w:tc>
          <w:tcPr>
            <w:tcW w:w="6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宋体" w:eastAsia="仿宋_GB2312"/>
                <w:color w:val="000000"/>
                <w:szCs w:val="21"/>
              </w:rPr>
            </w:pPr>
            <w:r>
              <w:rPr>
                <w:rFonts w:hint="eastAsia" w:ascii="仿宋_GB2312" w:hAnsi="宋体" w:eastAsia="仿宋_GB2312"/>
                <w:color w:val="000000"/>
                <w:szCs w:val="21"/>
              </w:rPr>
              <w:t>100分</w:t>
            </w:r>
          </w:p>
        </w:tc>
      </w:tr>
    </w:tbl>
    <w:p>
      <w:pPr>
        <w:rPr>
          <w:rFonts w:ascii="仿宋" w:hAnsi="仿宋" w:eastAsia="仿宋"/>
          <w:sz w:val="24"/>
          <w:szCs w:val="24"/>
        </w:rPr>
      </w:pPr>
      <w:r>
        <w:rPr>
          <w:rFonts w:hint="eastAsia"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 xml:space="preserve">    （四）谈判小组成员根据评分标准和细则对投标人独立评分，按计分结果取平均分确定投标人最后综合得分，得分最高者为第一中标候选人，其他投标人按综合评分结果排序，依次作为成交候选人。</w:t>
      </w:r>
    </w:p>
    <w:p>
      <w:pPr>
        <w:spacing w:line="440" w:lineRule="exact"/>
        <w:rPr>
          <w:rFonts w:ascii="仿宋" w:hAnsi="仿宋" w:eastAsia="仿宋"/>
          <w:sz w:val="24"/>
          <w:szCs w:val="24"/>
        </w:rPr>
      </w:pPr>
      <w:r>
        <w:rPr>
          <w:rFonts w:hint="eastAsia" w:ascii="仿宋" w:hAnsi="仿宋" w:eastAsia="仿宋"/>
          <w:sz w:val="24"/>
          <w:szCs w:val="24"/>
        </w:rPr>
        <w:t xml:space="preserve">    综合评分结果由本次谈判监督员签字确认。</w:t>
      </w:r>
    </w:p>
    <w:p>
      <w:pPr>
        <w:rPr>
          <w:rFonts w:ascii="黑体" w:hAnsi="黑体" w:eastAsia="黑体"/>
          <w:sz w:val="24"/>
          <w:szCs w:val="24"/>
        </w:rPr>
      </w:pPr>
      <w:r>
        <w:rPr>
          <w:rFonts w:hint="eastAsia" w:ascii="黑体" w:hAnsi="黑体" w:eastAsia="黑体"/>
          <w:sz w:val="24"/>
          <w:szCs w:val="24"/>
        </w:rPr>
        <w:t xml:space="preserve">    三、无效投标条款</w:t>
      </w:r>
    </w:p>
    <w:p>
      <w:pPr>
        <w:spacing w:line="440" w:lineRule="exact"/>
        <w:rPr>
          <w:rFonts w:ascii="仿宋" w:hAnsi="仿宋" w:eastAsia="仿宋"/>
          <w:sz w:val="24"/>
          <w:szCs w:val="24"/>
        </w:rPr>
      </w:pPr>
      <w:r>
        <w:rPr>
          <w:rFonts w:hint="eastAsia" w:ascii="仿宋" w:hAnsi="仿宋" w:eastAsia="仿宋"/>
          <w:sz w:val="24"/>
          <w:szCs w:val="24"/>
        </w:rPr>
        <w:t xml:space="preserve">    投标人或其投标文件出现下列情况之一者，应为无效投标：</w:t>
      </w:r>
    </w:p>
    <w:p>
      <w:pPr>
        <w:spacing w:line="440" w:lineRule="exact"/>
        <w:rPr>
          <w:rFonts w:ascii="仿宋" w:hAnsi="仿宋" w:eastAsia="仿宋"/>
          <w:sz w:val="24"/>
          <w:szCs w:val="24"/>
        </w:rPr>
      </w:pPr>
      <w:r>
        <w:rPr>
          <w:rFonts w:hint="eastAsia" w:ascii="仿宋" w:hAnsi="仿宋" w:eastAsia="仿宋"/>
          <w:sz w:val="24"/>
          <w:szCs w:val="24"/>
        </w:rPr>
        <w:t xml:space="preserve">    （一）资格性审查时不合格的。</w:t>
      </w:r>
    </w:p>
    <w:p>
      <w:pPr>
        <w:spacing w:line="440" w:lineRule="exact"/>
        <w:rPr>
          <w:rFonts w:ascii="仿宋" w:hAnsi="仿宋" w:eastAsia="仿宋"/>
          <w:sz w:val="24"/>
          <w:szCs w:val="24"/>
        </w:rPr>
      </w:pPr>
      <w:r>
        <w:rPr>
          <w:rFonts w:hint="eastAsia" w:ascii="仿宋" w:hAnsi="仿宋" w:eastAsia="仿宋"/>
          <w:sz w:val="24"/>
          <w:szCs w:val="24"/>
        </w:rPr>
        <w:t xml:space="preserve">    （二）投标人超出营业范围投标的。</w:t>
      </w:r>
    </w:p>
    <w:p>
      <w:pPr>
        <w:spacing w:line="440" w:lineRule="exact"/>
        <w:rPr>
          <w:rFonts w:ascii="仿宋" w:hAnsi="仿宋" w:eastAsia="仿宋"/>
          <w:sz w:val="24"/>
          <w:szCs w:val="24"/>
        </w:rPr>
      </w:pPr>
      <w:r>
        <w:rPr>
          <w:rFonts w:hint="eastAsia" w:ascii="仿宋" w:hAnsi="仿宋" w:eastAsia="仿宋"/>
          <w:sz w:val="24"/>
          <w:szCs w:val="24"/>
        </w:rPr>
        <w:t xml:space="preserve">    （三）投标报价超出本次招标最高限价的。</w:t>
      </w:r>
    </w:p>
    <w:p>
      <w:pPr>
        <w:rPr>
          <w:rFonts w:ascii="黑体" w:hAnsi="黑体" w:eastAsia="黑体"/>
          <w:sz w:val="24"/>
          <w:szCs w:val="24"/>
        </w:rPr>
      </w:pPr>
      <w:r>
        <w:rPr>
          <w:rFonts w:hint="eastAsia" w:ascii="仿宋" w:hAnsi="仿宋" w:eastAsia="仿宋"/>
          <w:sz w:val="24"/>
          <w:szCs w:val="24"/>
        </w:rPr>
        <w:t xml:space="preserve">    </w:t>
      </w:r>
      <w:bookmarkStart w:id="13" w:name="_Toc14960"/>
      <w:r>
        <w:rPr>
          <w:rFonts w:hint="eastAsia" w:ascii="黑体" w:hAnsi="黑体" w:eastAsia="黑体"/>
          <w:sz w:val="24"/>
          <w:szCs w:val="24"/>
        </w:rPr>
        <w:t>三、废标条款</w:t>
      </w:r>
      <w:bookmarkEnd w:id="13"/>
    </w:p>
    <w:p>
      <w:pPr>
        <w:spacing w:line="440" w:lineRule="exact"/>
        <w:rPr>
          <w:rFonts w:ascii="仿宋" w:hAnsi="仿宋" w:eastAsia="仿宋"/>
          <w:sz w:val="24"/>
          <w:szCs w:val="24"/>
        </w:rPr>
      </w:pPr>
      <w:r>
        <w:rPr>
          <w:rFonts w:hint="eastAsia" w:ascii="仿宋" w:hAnsi="仿宋" w:eastAsia="仿宋"/>
          <w:sz w:val="24"/>
          <w:szCs w:val="24"/>
        </w:rPr>
        <w:t xml:space="preserve">    出现以下情况之一的，应予废标：</w:t>
      </w:r>
    </w:p>
    <w:p>
      <w:pPr>
        <w:spacing w:line="440" w:lineRule="exact"/>
        <w:rPr>
          <w:rFonts w:ascii="仿宋" w:hAnsi="仿宋" w:eastAsia="仿宋"/>
          <w:sz w:val="24"/>
          <w:szCs w:val="24"/>
        </w:rPr>
      </w:pPr>
      <w:r>
        <w:rPr>
          <w:rFonts w:hint="eastAsia" w:ascii="仿宋" w:hAnsi="仿宋" w:eastAsia="仿宋"/>
          <w:sz w:val="24"/>
          <w:szCs w:val="24"/>
        </w:rPr>
        <w:t xml:space="preserve">    （一）通过资格审查符合条件的投标人不足3家的；</w:t>
      </w:r>
    </w:p>
    <w:p>
      <w:pPr>
        <w:spacing w:line="440" w:lineRule="exact"/>
        <w:rPr>
          <w:rFonts w:ascii="仿宋" w:hAnsi="仿宋" w:eastAsia="仿宋"/>
          <w:sz w:val="24"/>
          <w:szCs w:val="24"/>
        </w:rPr>
      </w:pPr>
      <w:r>
        <w:rPr>
          <w:rFonts w:hint="eastAsia" w:ascii="仿宋" w:hAnsi="仿宋" w:eastAsia="仿宋"/>
          <w:sz w:val="24"/>
          <w:szCs w:val="24"/>
        </w:rPr>
        <w:t xml:space="preserve">    （二）投标人的报价均超过了最高限价的；</w:t>
      </w:r>
    </w:p>
    <w:p>
      <w:pPr>
        <w:spacing w:line="440" w:lineRule="exact"/>
        <w:rPr>
          <w:rFonts w:ascii="仿宋" w:hAnsi="仿宋" w:eastAsia="仿宋"/>
          <w:sz w:val="24"/>
          <w:szCs w:val="24"/>
        </w:rPr>
      </w:pPr>
      <w:r>
        <w:rPr>
          <w:rFonts w:hint="eastAsia" w:ascii="仿宋" w:hAnsi="仿宋" w:eastAsia="仿宋"/>
          <w:sz w:val="24"/>
          <w:szCs w:val="24"/>
        </w:rPr>
        <w:t xml:space="preserve">    （三）出现影响采购公正的违法、违规行为的；</w:t>
      </w:r>
    </w:p>
    <w:p>
      <w:pPr>
        <w:spacing w:line="440" w:lineRule="exact"/>
        <w:rPr>
          <w:rFonts w:ascii="仿宋" w:hAnsi="仿宋" w:eastAsia="仿宋"/>
          <w:sz w:val="24"/>
          <w:szCs w:val="24"/>
        </w:rPr>
      </w:pPr>
      <w:r>
        <w:rPr>
          <w:rFonts w:hint="eastAsia" w:ascii="仿宋" w:hAnsi="仿宋" w:eastAsia="仿宋"/>
          <w:sz w:val="24"/>
          <w:szCs w:val="24"/>
        </w:rPr>
        <w:t xml:space="preserve">    （四）因重大变故，采购任务取消的。</w:t>
      </w:r>
    </w:p>
    <w:p>
      <w:pPr>
        <w:spacing w:line="440" w:lineRule="exact"/>
        <w:rPr>
          <w:rFonts w:ascii="仿宋" w:hAnsi="仿宋" w:eastAsia="仿宋"/>
          <w:sz w:val="24"/>
          <w:szCs w:val="24"/>
        </w:rPr>
      </w:pPr>
      <w:r>
        <w:rPr>
          <w:rFonts w:hint="eastAsia" w:ascii="仿宋" w:hAnsi="仿宋" w:eastAsia="仿宋"/>
          <w:sz w:val="24"/>
          <w:szCs w:val="24"/>
        </w:rPr>
        <w:t xml:space="preserve">    废标后，除采购任务取消情形外，应当重新组织采购。</w:t>
      </w:r>
    </w:p>
    <w:p>
      <w:pPr>
        <w:widowControl/>
        <w:spacing w:line="500" w:lineRule="exact"/>
        <w:jc w:val="left"/>
        <w:rPr>
          <w:rFonts w:ascii="仿宋" w:hAnsi="仿宋" w:eastAsia="仿宋"/>
          <w:sz w:val="24"/>
          <w:szCs w:val="24"/>
        </w:rPr>
      </w:pPr>
    </w:p>
    <w:p>
      <w:pPr>
        <w:widowControl/>
        <w:spacing w:line="500" w:lineRule="exact"/>
        <w:jc w:val="left"/>
        <w:rPr>
          <w:rFonts w:ascii="仿宋" w:hAnsi="仿宋" w:eastAsia="仿宋"/>
          <w:sz w:val="24"/>
          <w:szCs w:val="24"/>
        </w:rPr>
      </w:pPr>
    </w:p>
    <w:p>
      <w:pPr>
        <w:jc w:val="center"/>
        <w:rPr>
          <w:rFonts w:ascii="黑体" w:hAnsi="黑体" w:eastAsia="黑体"/>
          <w:sz w:val="24"/>
          <w:szCs w:val="24"/>
        </w:rPr>
      </w:pPr>
      <w:r>
        <w:rPr>
          <w:rFonts w:hint="eastAsia" w:ascii="黑体" w:hAnsi="黑体" w:eastAsia="黑体"/>
          <w:sz w:val="24"/>
          <w:szCs w:val="24"/>
        </w:rPr>
        <w:t>第五篇  投标文件的编制</w:t>
      </w:r>
    </w:p>
    <w:p>
      <w:pPr>
        <w:spacing w:line="440" w:lineRule="exact"/>
        <w:rPr>
          <w:rFonts w:ascii="仿宋" w:hAnsi="仿宋" w:eastAsia="仿宋"/>
          <w:sz w:val="24"/>
          <w:szCs w:val="24"/>
        </w:rPr>
      </w:pPr>
      <w:r>
        <w:rPr>
          <w:rFonts w:hint="eastAsia" w:ascii="仿宋" w:hAnsi="仿宋" w:eastAsia="仿宋"/>
          <w:sz w:val="24"/>
          <w:szCs w:val="24"/>
        </w:rPr>
        <w:t xml:space="preserve">    </w:t>
      </w:r>
    </w:p>
    <w:p>
      <w:pPr>
        <w:spacing w:line="440" w:lineRule="exact"/>
        <w:rPr>
          <w:rFonts w:ascii="仿宋" w:hAnsi="仿宋" w:eastAsia="仿宋"/>
          <w:sz w:val="24"/>
          <w:szCs w:val="24"/>
        </w:rPr>
      </w:pPr>
      <w:r>
        <w:rPr>
          <w:rFonts w:hint="eastAsia" w:ascii="仿宋" w:hAnsi="仿宋" w:eastAsia="仿宋"/>
          <w:sz w:val="24"/>
          <w:szCs w:val="24"/>
        </w:rPr>
        <w:t xml:space="preserve">    </w:t>
      </w:r>
      <w:r>
        <w:rPr>
          <w:rFonts w:hint="eastAsia" w:ascii="黑体" w:hAnsi="黑体" w:eastAsia="黑体"/>
          <w:sz w:val="24"/>
          <w:szCs w:val="24"/>
        </w:rPr>
        <w:t>一、编制要求</w:t>
      </w:r>
    </w:p>
    <w:p>
      <w:pPr>
        <w:spacing w:line="440" w:lineRule="exact"/>
        <w:rPr>
          <w:rFonts w:ascii="仿宋" w:hAnsi="仿宋" w:eastAsia="仿宋" w:cs="Times New Roman"/>
          <w:sz w:val="24"/>
          <w:szCs w:val="24"/>
        </w:rPr>
      </w:pPr>
      <w:r>
        <w:rPr>
          <w:rFonts w:hint="eastAsia" w:ascii="仿宋" w:hAnsi="仿宋" w:eastAsia="仿宋"/>
          <w:sz w:val="24"/>
          <w:szCs w:val="24"/>
        </w:rPr>
        <w:t xml:space="preserve">    </w:t>
      </w:r>
      <w:r>
        <w:rPr>
          <w:rFonts w:hint="eastAsia" w:ascii="仿宋" w:hAnsi="仿宋" w:eastAsia="仿宋" w:cs="Times New Roman"/>
          <w:sz w:val="24"/>
          <w:szCs w:val="24"/>
        </w:rPr>
        <w:t>投标人应仔细阅读</w:t>
      </w:r>
      <w:r>
        <w:rPr>
          <w:rFonts w:hint="eastAsia" w:ascii="仿宋" w:hAnsi="仿宋" w:eastAsia="仿宋"/>
          <w:sz w:val="24"/>
          <w:szCs w:val="24"/>
        </w:rPr>
        <w:t>招标文件内容，</w:t>
      </w:r>
      <w:r>
        <w:rPr>
          <w:rFonts w:hint="eastAsia" w:ascii="仿宋" w:hAnsi="仿宋" w:eastAsia="仿宋" w:cs="Times New Roman"/>
          <w:sz w:val="24"/>
          <w:szCs w:val="24"/>
        </w:rPr>
        <w:t>按要求编制“投标文件”，并保证所提供的全部资料的真实性、完整性及有效性，对“</w:t>
      </w:r>
      <w:r>
        <w:rPr>
          <w:rFonts w:hint="eastAsia" w:ascii="仿宋" w:hAnsi="仿宋" w:eastAsia="仿宋"/>
          <w:sz w:val="24"/>
          <w:szCs w:val="24"/>
        </w:rPr>
        <w:t>商务部分</w:t>
      </w:r>
      <w:r>
        <w:rPr>
          <w:rFonts w:hint="eastAsia" w:ascii="仿宋" w:hAnsi="仿宋" w:eastAsia="仿宋" w:cs="Times New Roman"/>
          <w:sz w:val="24"/>
          <w:szCs w:val="24"/>
        </w:rPr>
        <w:t>”作出实质性响应。否则，可能被拒绝。</w:t>
      </w:r>
    </w:p>
    <w:p>
      <w:pPr>
        <w:spacing w:line="440" w:lineRule="exact"/>
        <w:rPr>
          <w:rFonts w:ascii="黑体" w:hAnsi="黑体" w:eastAsia="黑体" w:cs="Times New Roman"/>
          <w:sz w:val="24"/>
          <w:szCs w:val="24"/>
        </w:rPr>
      </w:pPr>
      <w:r>
        <w:rPr>
          <w:rFonts w:hint="eastAsia" w:ascii="仿宋" w:hAnsi="仿宋" w:eastAsia="仿宋"/>
          <w:sz w:val="24"/>
          <w:szCs w:val="24"/>
        </w:rPr>
        <w:t xml:space="preserve">    </w:t>
      </w:r>
      <w:r>
        <w:rPr>
          <w:rFonts w:hint="eastAsia" w:ascii="黑体" w:hAnsi="黑体" w:eastAsia="黑体"/>
          <w:sz w:val="24"/>
          <w:szCs w:val="24"/>
        </w:rPr>
        <w:t>二、文件构成</w:t>
      </w:r>
    </w:p>
    <w:p>
      <w:pPr>
        <w:spacing w:line="440" w:lineRule="exact"/>
        <w:rPr>
          <w:rFonts w:ascii="仿宋" w:hAnsi="仿宋" w:eastAsia="仿宋" w:cs="Times New Roman"/>
          <w:sz w:val="24"/>
          <w:szCs w:val="24"/>
        </w:rPr>
      </w:pPr>
      <w:r>
        <w:rPr>
          <w:rFonts w:hint="eastAsia" w:ascii="仿宋" w:hAnsi="仿宋" w:eastAsia="仿宋"/>
          <w:sz w:val="24"/>
          <w:szCs w:val="24"/>
        </w:rPr>
        <w:t xml:space="preserve">    </w:t>
      </w:r>
      <w:r>
        <w:rPr>
          <w:rFonts w:hint="eastAsia" w:ascii="仿宋" w:hAnsi="仿宋" w:eastAsia="仿宋" w:cs="Times New Roman"/>
          <w:sz w:val="24"/>
          <w:szCs w:val="24"/>
        </w:rPr>
        <w:t>1、资格、资质证明文件。</w:t>
      </w:r>
      <w:r>
        <w:rPr>
          <w:rFonts w:hint="eastAsia" w:ascii="仿宋" w:hAnsi="仿宋" w:eastAsia="仿宋"/>
          <w:sz w:val="24"/>
          <w:szCs w:val="24"/>
        </w:rPr>
        <w:t>包括法定代表人证明，</w:t>
      </w:r>
      <w:r>
        <w:rPr>
          <w:rFonts w:hint="eastAsia" w:ascii="仿宋" w:hAnsi="仿宋" w:eastAsia="仿宋" w:cs="Times New Roman"/>
          <w:sz w:val="24"/>
          <w:szCs w:val="24"/>
        </w:rPr>
        <w:t>法定代表人授权委托人身份证及委托书</w:t>
      </w:r>
      <w:r>
        <w:rPr>
          <w:rFonts w:hint="eastAsia" w:ascii="仿宋" w:hAnsi="仿宋" w:eastAsia="仿宋"/>
          <w:sz w:val="24"/>
          <w:szCs w:val="24"/>
        </w:rPr>
        <w:t>（加盖单位公章），竞标企业营业执照、企业资质证书。</w:t>
      </w:r>
    </w:p>
    <w:p>
      <w:pPr>
        <w:spacing w:line="440" w:lineRule="exact"/>
        <w:rPr>
          <w:rFonts w:ascii="仿宋" w:hAnsi="仿宋" w:eastAsia="仿宋" w:cs="Times New Roman"/>
          <w:sz w:val="24"/>
          <w:szCs w:val="24"/>
        </w:rPr>
      </w:pPr>
      <w:r>
        <w:rPr>
          <w:rFonts w:hint="eastAsia" w:ascii="仿宋" w:hAnsi="仿宋" w:eastAsia="仿宋"/>
          <w:sz w:val="24"/>
          <w:szCs w:val="24"/>
        </w:rPr>
        <w:t xml:space="preserve">    </w:t>
      </w:r>
      <w:r>
        <w:rPr>
          <w:rFonts w:hint="eastAsia" w:ascii="仿宋" w:hAnsi="仿宋" w:eastAsia="仿宋" w:cs="Times New Roman"/>
          <w:sz w:val="24"/>
          <w:szCs w:val="24"/>
        </w:rPr>
        <w:t>2、技术文件</w:t>
      </w:r>
      <w:r>
        <w:rPr>
          <w:rFonts w:hint="eastAsia" w:ascii="仿宋" w:hAnsi="仿宋" w:eastAsia="仿宋"/>
          <w:sz w:val="24"/>
          <w:szCs w:val="24"/>
        </w:rPr>
        <w:t>。</w:t>
      </w:r>
      <w:r>
        <w:rPr>
          <w:rFonts w:hint="eastAsia" w:ascii="仿宋" w:hAnsi="仿宋" w:eastAsia="仿宋" w:cs="Times New Roman"/>
          <w:sz w:val="24"/>
          <w:szCs w:val="24"/>
        </w:rPr>
        <w:t>根据设计方案提供造型材质、LED、音响、开幕式道具等技术标准。</w:t>
      </w:r>
      <w:r>
        <w:rPr>
          <w:rFonts w:hint="eastAsia" w:ascii="仿宋" w:hAnsi="仿宋" w:eastAsia="仿宋" w:cs="Times New Roman"/>
          <w:b/>
          <w:sz w:val="24"/>
          <w:szCs w:val="24"/>
        </w:rPr>
        <w:t>相应工作量可在报价一览表中作出规格、数量和技术参数说明</w:t>
      </w:r>
      <w:r>
        <w:rPr>
          <w:rFonts w:hint="eastAsia" w:ascii="仿宋" w:hAnsi="仿宋" w:eastAsia="仿宋" w:cs="Times New Roman"/>
          <w:sz w:val="24"/>
          <w:szCs w:val="24"/>
        </w:rPr>
        <w:t>。</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3、报价</w:t>
      </w:r>
      <w:r>
        <w:rPr>
          <w:rFonts w:hint="eastAsia" w:ascii="仿宋" w:hAnsi="仿宋" w:eastAsia="仿宋"/>
          <w:sz w:val="24"/>
          <w:szCs w:val="24"/>
        </w:rPr>
        <w:t>资料。包括最终报价表，</w:t>
      </w:r>
      <w:r>
        <w:rPr>
          <w:rFonts w:hint="eastAsia" w:ascii="仿宋" w:hAnsi="仿宋" w:eastAsia="仿宋" w:cs="Times New Roman"/>
          <w:sz w:val="24"/>
          <w:szCs w:val="24"/>
        </w:rPr>
        <w:t>报价一览表（单独装订一份</w:t>
      </w:r>
      <w:r>
        <w:rPr>
          <w:rFonts w:hint="eastAsia" w:ascii="仿宋" w:hAnsi="仿宋" w:eastAsia="仿宋"/>
          <w:sz w:val="24"/>
          <w:szCs w:val="24"/>
        </w:rPr>
        <w:t>，并</w:t>
      </w:r>
      <w:r>
        <w:rPr>
          <w:rFonts w:hint="eastAsia" w:ascii="仿宋" w:hAnsi="仿宋" w:eastAsia="仿宋" w:cs="Times New Roman"/>
          <w:sz w:val="24"/>
          <w:szCs w:val="24"/>
        </w:rPr>
        <w:t>尽量提供</w:t>
      </w:r>
      <w:r>
        <w:rPr>
          <w:rFonts w:hint="eastAsia" w:ascii="仿宋" w:hAnsi="仿宋" w:eastAsia="仿宋"/>
          <w:sz w:val="24"/>
          <w:szCs w:val="24"/>
        </w:rPr>
        <w:t>细分项</w:t>
      </w:r>
      <w:r>
        <w:rPr>
          <w:rFonts w:hint="eastAsia" w:ascii="仿宋" w:hAnsi="仿宋" w:eastAsia="仿宋" w:cs="Times New Roman"/>
          <w:sz w:val="24"/>
          <w:szCs w:val="24"/>
        </w:rPr>
        <w:t>清单）。</w:t>
      </w:r>
    </w:p>
    <w:p>
      <w:pPr>
        <w:spacing w:line="440" w:lineRule="exact"/>
        <w:rPr>
          <w:rFonts w:ascii="仿宋" w:hAnsi="仿宋" w:eastAsia="仿宋" w:cs="Times New Roman"/>
          <w:sz w:val="24"/>
          <w:szCs w:val="24"/>
        </w:rPr>
      </w:pPr>
      <w:r>
        <w:rPr>
          <w:rFonts w:hint="eastAsia" w:ascii="仿宋" w:hAnsi="仿宋" w:eastAsia="仿宋"/>
          <w:sz w:val="24"/>
          <w:szCs w:val="24"/>
        </w:rPr>
        <w:t xml:space="preserve">    4</w:t>
      </w:r>
      <w:r>
        <w:rPr>
          <w:rFonts w:hint="eastAsia" w:ascii="仿宋" w:hAnsi="仿宋" w:eastAsia="仿宋" w:cs="Times New Roman"/>
          <w:sz w:val="24"/>
          <w:szCs w:val="24"/>
        </w:rPr>
        <w:t>、投标人认为有必要提供的其它材料,</w:t>
      </w:r>
      <w:r>
        <w:rPr>
          <w:rFonts w:hint="eastAsia" w:ascii="仿宋" w:hAnsi="仿宋" w:eastAsia="仿宋"/>
          <w:sz w:val="24"/>
          <w:szCs w:val="24"/>
        </w:rPr>
        <w:t>包括成功案例。</w:t>
      </w:r>
    </w:p>
    <w:p>
      <w:pPr>
        <w:spacing w:line="440" w:lineRule="exact"/>
        <w:rPr>
          <w:rFonts w:ascii="仿宋" w:hAnsi="仿宋" w:eastAsia="仿宋" w:cs="Times New Roman"/>
          <w:sz w:val="24"/>
          <w:szCs w:val="24"/>
        </w:rPr>
      </w:pPr>
      <w:r>
        <w:rPr>
          <w:rFonts w:hint="eastAsia" w:ascii="仿宋" w:hAnsi="仿宋" w:eastAsia="仿宋"/>
          <w:sz w:val="24"/>
          <w:szCs w:val="24"/>
        </w:rPr>
        <w:t xml:space="preserve">    </w:t>
      </w:r>
      <w:r>
        <w:rPr>
          <w:rFonts w:hint="eastAsia" w:ascii="黑体" w:hAnsi="黑体" w:eastAsia="黑体"/>
          <w:sz w:val="24"/>
          <w:szCs w:val="24"/>
        </w:rPr>
        <w:t>三、报价注意事项</w:t>
      </w:r>
    </w:p>
    <w:p>
      <w:pPr>
        <w:spacing w:line="440" w:lineRule="exact"/>
        <w:rPr>
          <w:rFonts w:ascii="仿宋" w:hAnsi="仿宋" w:eastAsia="仿宋" w:cs="Times New Roman"/>
          <w:sz w:val="24"/>
          <w:szCs w:val="24"/>
        </w:rPr>
      </w:pPr>
      <w:r>
        <w:rPr>
          <w:rFonts w:hint="eastAsia" w:ascii="仿宋" w:hAnsi="仿宋" w:eastAsia="仿宋"/>
          <w:sz w:val="24"/>
          <w:szCs w:val="24"/>
        </w:rPr>
        <w:t xml:space="preserve">    </w:t>
      </w:r>
      <w:r>
        <w:rPr>
          <w:rFonts w:hint="eastAsia" w:ascii="仿宋" w:hAnsi="仿宋" w:eastAsia="仿宋" w:cs="Times New Roman"/>
          <w:sz w:val="24"/>
          <w:szCs w:val="24"/>
        </w:rPr>
        <w:t>1、投标报价时应充分考虑所有可能影响到报价的价格因素，报价须包括且不限于设计方案中所有内容。</w:t>
      </w:r>
      <w:r>
        <w:rPr>
          <w:rFonts w:hint="eastAsia" w:ascii="仿宋" w:hAnsi="仿宋" w:eastAsia="仿宋"/>
          <w:sz w:val="24"/>
          <w:szCs w:val="24"/>
        </w:rPr>
        <w:t>本服务项目实行总承包，因采购方满足活动需要增加零星物料制作部分不予以追加，因此，投标人应对</w:t>
      </w:r>
      <w:r>
        <w:rPr>
          <w:rFonts w:hint="eastAsia" w:ascii="仿宋" w:hAnsi="仿宋" w:eastAsia="仿宋" w:cs="Times New Roman"/>
          <w:sz w:val="24"/>
          <w:szCs w:val="24"/>
        </w:rPr>
        <w:t>零星物料制作部分作充分考虑。</w:t>
      </w:r>
    </w:p>
    <w:p>
      <w:pPr>
        <w:spacing w:line="440" w:lineRule="exact"/>
        <w:rPr>
          <w:rFonts w:ascii="仿宋" w:hAnsi="仿宋" w:eastAsia="仿宋" w:cs="Times New Roman"/>
          <w:sz w:val="24"/>
          <w:szCs w:val="24"/>
        </w:rPr>
      </w:pPr>
      <w:r>
        <w:rPr>
          <w:rFonts w:hint="eastAsia" w:ascii="仿宋" w:hAnsi="仿宋" w:eastAsia="仿宋"/>
          <w:sz w:val="24"/>
          <w:szCs w:val="24"/>
        </w:rPr>
        <w:t xml:space="preserve">    </w:t>
      </w:r>
      <w:r>
        <w:rPr>
          <w:rFonts w:hint="eastAsia" w:ascii="仿宋" w:hAnsi="仿宋" w:eastAsia="仿宋" w:cs="Times New Roman"/>
          <w:sz w:val="24"/>
          <w:szCs w:val="24"/>
        </w:rPr>
        <w:t>2、本</w:t>
      </w:r>
      <w:r>
        <w:rPr>
          <w:rFonts w:hint="eastAsia" w:ascii="仿宋" w:hAnsi="仿宋" w:eastAsia="仿宋"/>
          <w:sz w:val="24"/>
          <w:szCs w:val="24"/>
        </w:rPr>
        <w:t>项目</w:t>
      </w:r>
      <w:r>
        <w:rPr>
          <w:rFonts w:hint="eastAsia" w:ascii="仿宋" w:hAnsi="仿宋" w:eastAsia="仿宋" w:cs="Times New Roman"/>
          <w:sz w:val="24"/>
          <w:szCs w:val="24"/>
        </w:rPr>
        <w:t>投标报价</w:t>
      </w:r>
      <w:r>
        <w:rPr>
          <w:rFonts w:hint="eastAsia" w:ascii="仿宋" w:hAnsi="仿宋" w:eastAsia="仿宋"/>
          <w:sz w:val="24"/>
          <w:szCs w:val="24"/>
        </w:rPr>
        <w:t>原则</w:t>
      </w:r>
      <w:r>
        <w:rPr>
          <w:rFonts w:hint="eastAsia" w:ascii="仿宋" w:hAnsi="仿宋" w:eastAsia="仿宋" w:cs="Times New Roman"/>
          <w:sz w:val="24"/>
          <w:szCs w:val="24"/>
        </w:rPr>
        <w:t>以清单计价方式进行报价，竞标人根据市场行情自主报价。</w:t>
      </w:r>
    </w:p>
    <w:p>
      <w:pPr>
        <w:spacing w:line="440" w:lineRule="exact"/>
        <w:rPr>
          <w:rFonts w:ascii="仿宋" w:hAnsi="仿宋" w:eastAsia="仿宋" w:cs="Times New Roman"/>
          <w:sz w:val="24"/>
          <w:szCs w:val="24"/>
        </w:rPr>
      </w:pPr>
      <w:r>
        <w:rPr>
          <w:rFonts w:hint="eastAsia" w:ascii="仿宋" w:hAnsi="仿宋" w:eastAsia="仿宋"/>
          <w:sz w:val="24"/>
          <w:szCs w:val="24"/>
        </w:rPr>
        <w:t xml:space="preserve">    </w:t>
      </w:r>
      <w:r>
        <w:rPr>
          <w:rFonts w:hint="eastAsia" w:ascii="仿宋" w:hAnsi="仿宋" w:eastAsia="仿宋" w:cs="Times New Roman"/>
          <w:sz w:val="24"/>
          <w:szCs w:val="24"/>
        </w:rPr>
        <w:t>3、投标人可对设计方案中</w:t>
      </w:r>
      <w:r>
        <w:rPr>
          <w:rFonts w:hint="eastAsia" w:ascii="仿宋" w:hAnsi="仿宋" w:eastAsia="仿宋"/>
          <w:sz w:val="24"/>
          <w:szCs w:val="24"/>
        </w:rPr>
        <w:t>包含内容进行</w:t>
      </w:r>
      <w:r>
        <w:rPr>
          <w:rFonts w:hint="eastAsia" w:ascii="仿宋" w:hAnsi="仿宋" w:eastAsia="仿宋" w:cs="Times New Roman"/>
          <w:sz w:val="24"/>
          <w:szCs w:val="24"/>
        </w:rPr>
        <w:t>进行</w:t>
      </w:r>
      <w:r>
        <w:rPr>
          <w:rFonts w:hint="eastAsia" w:ascii="仿宋" w:hAnsi="仿宋" w:eastAsia="仿宋"/>
          <w:sz w:val="24"/>
          <w:szCs w:val="24"/>
        </w:rPr>
        <w:t>价格</w:t>
      </w:r>
      <w:r>
        <w:rPr>
          <w:rFonts w:hint="eastAsia" w:ascii="仿宋" w:hAnsi="仿宋" w:eastAsia="仿宋" w:cs="Times New Roman"/>
          <w:sz w:val="24"/>
          <w:szCs w:val="24"/>
        </w:rPr>
        <w:t>承诺，</w:t>
      </w:r>
      <w:r>
        <w:rPr>
          <w:rFonts w:hint="eastAsia" w:ascii="仿宋" w:hAnsi="仿宋" w:eastAsia="仿宋"/>
          <w:sz w:val="24"/>
          <w:szCs w:val="24"/>
        </w:rPr>
        <w:t>并对其他服务项进行优惠承诺，承诺内容纳入合同约定，作为</w:t>
      </w:r>
      <w:r>
        <w:rPr>
          <w:rFonts w:hint="eastAsia" w:ascii="仿宋" w:hAnsi="仿宋" w:eastAsia="仿宋" w:cs="Times New Roman"/>
          <w:sz w:val="24"/>
          <w:szCs w:val="24"/>
        </w:rPr>
        <w:t>结算价额。</w:t>
      </w:r>
    </w:p>
    <w:p>
      <w:pPr>
        <w:spacing w:line="440" w:lineRule="exact"/>
        <w:rPr>
          <w:rFonts w:ascii="仿宋" w:hAnsi="仿宋" w:eastAsia="仿宋" w:cs="Times New Roman"/>
          <w:sz w:val="24"/>
          <w:szCs w:val="24"/>
        </w:rPr>
      </w:pPr>
      <w:r>
        <w:rPr>
          <w:rFonts w:hint="eastAsia" w:ascii="仿宋" w:hAnsi="仿宋" w:eastAsia="仿宋"/>
          <w:sz w:val="24"/>
          <w:szCs w:val="24"/>
        </w:rPr>
        <w:t xml:space="preserve">    </w:t>
      </w:r>
      <w:r>
        <w:rPr>
          <w:rFonts w:hint="eastAsia" w:ascii="仿宋" w:hAnsi="仿宋" w:eastAsia="仿宋" w:cs="Times New Roman"/>
          <w:sz w:val="24"/>
          <w:szCs w:val="24"/>
        </w:rPr>
        <w:t>4、本次投标不设保证金。</w:t>
      </w:r>
    </w:p>
    <w:p>
      <w:pPr>
        <w:spacing w:line="440" w:lineRule="exact"/>
        <w:jc w:val="center"/>
        <w:rPr>
          <w:rFonts w:ascii="黑体" w:hAnsi="黑体" w:eastAsia="黑体" w:cs="Times New Roman"/>
          <w:sz w:val="24"/>
          <w:szCs w:val="24"/>
        </w:rPr>
      </w:pPr>
    </w:p>
    <w:p>
      <w:pPr>
        <w:spacing w:line="440" w:lineRule="exact"/>
        <w:jc w:val="center"/>
        <w:rPr>
          <w:rFonts w:ascii="黑体" w:hAnsi="黑体" w:eastAsia="黑体" w:cs="Times New Roman"/>
          <w:sz w:val="24"/>
          <w:szCs w:val="24"/>
        </w:rPr>
      </w:pPr>
      <w:r>
        <w:rPr>
          <w:rFonts w:hint="eastAsia" w:ascii="黑体" w:hAnsi="黑体" w:eastAsia="黑体" w:cs="Times New Roman"/>
          <w:sz w:val="24"/>
          <w:szCs w:val="24"/>
        </w:rPr>
        <w:t>第六篇  投标文件格式</w:t>
      </w:r>
    </w:p>
    <w:p>
      <w:pPr>
        <w:spacing w:line="440" w:lineRule="exact"/>
        <w:rPr>
          <w:rFonts w:ascii="仿宋" w:hAnsi="仿宋" w:eastAsia="仿宋" w:cs="Times New Roman"/>
          <w:b/>
          <w:sz w:val="24"/>
          <w:szCs w:val="24"/>
        </w:rPr>
      </w:pPr>
    </w:p>
    <w:p>
      <w:pPr>
        <w:spacing w:line="440" w:lineRule="exact"/>
        <w:rPr>
          <w:rFonts w:ascii="黑体" w:hAnsi="黑体" w:eastAsia="黑体" w:cs="Times New Roman"/>
          <w:sz w:val="24"/>
          <w:szCs w:val="24"/>
        </w:rPr>
      </w:pPr>
      <w:r>
        <w:rPr>
          <w:rFonts w:hint="eastAsia" w:ascii="黑体" w:hAnsi="黑体" w:eastAsia="黑体" w:cs="Times New Roman"/>
          <w:sz w:val="24"/>
          <w:szCs w:val="24"/>
        </w:rPr>
        <w:t xml:space="preserve">    一、投标函（格式）</w:t>
      </w:r>
    </w:p>
    <w:p>
      <w:pPr>
        <w:spacing w:line="440" w:lineRule="exact"/>
        <w:jc w:val="center"/>
        <w:rPr>
          <w:rFonts w:ascii="黑体" w:hAnsi="黑体" w:eastAsia="黑体" w:cs="Times New Roman"/>
          <w:sz w:val="24"/>
          <w:szCs w:val="24"/>
        </w:rPr>
      </w:pPr>
      <w:r>
        <w:rPr>
          <w:rFonts w:hint="eastAsia" w:ascii="黑体" w:hAnsi="黑体" w:eastAsia="黑体" w:cs="Times New Roman"/>
          <w:sz w:val="24"/>
          <w:szCs w:val="24"/>
          <w:u w:val="single"/>
        </w:rPr>
        <w:t xml:space="preserve">      </w:t>
      </w:r>
      <w:r>
        <w:rPr>
          <w:rFonts w:hint="eastAsia" w:ascii="黑体" w:hAnsi="黑体" w:eastAsia="黑体" w:cs="Times New Roman"/>
          <w:sz w:val="24"/>
          <w:szCs w:val="24"/>
        </w:rPr>
        <w:t>（采购项目名称）投标函</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致</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（采购单位名称）：</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_</w:t>
      </w:r>
      <w:r>
        <w:rPr>
          <w:rFonts w:hint="eastAsia" w:ascii="仿宋" w:hAnsi="仿宋" w:eastAsia="仿宋" w:cs="Times New Roman"/>
          <w:sz w:val="24"/>
          <w:szCs w:val="24"/>
          <w:u w:val="single"/>
        </w:rPr>
        <w:t>___    ___</w:t>
      </w:r>
      <w:r>
        <w:rPr>
          <w:rFonts w:hint="eastAsia" w:ascii="仿宋" w:hAnsi="仿宋" w:eastAsia="仿宋" w:cs="Times New Roman"/>
          <w:sz w:val="24"/>
          <w:szCs w:val="24"/>
        </w:rPr>
        <w:t>（投标人名称）系中华人民共和国合法企业，注册地址：</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。我方就参加本次投标有关事项郑重声明如下：</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一、我方完全理解并接受该项目招标文件所有要求。</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二、我方提交的所有投标文件、资料都是准确和真实的，如有虚假或隐瞒，我方愿意承担一切法律责任。</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三、我方承诺按照招标文件要求，提供招标货物的供应（或制造）及技术服务。</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四、我方按招标文件要求提交的投标文件为：投标文件正本1份，副本1份。</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五、我方投标报价为闭口价。即在投标有效期和合同有效期内，该报价固定不变。</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六、如果我方中标，我方将履行招标文件中规定的各项要求以及我方投标文件的各项承诺，按《合同法》及合同约定条款承担我方责任。</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七、我方理解，最低报价不是中标的唯一条件。</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（投标人公章）</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年    月   日</w:t>
      </w:r>
    </w:p>
    <w:p>
      <w:pPr>
        <w:spacing w:line="440" w:lineRule="exact"/>
        <w:rPr>
          <w:rFonts w:ascii="黑体" w:hAnsi="黑体" w:eastAsia="黑体" w:cs="Times New Roman"/>
          <w:sz w:val="24"/>
          <w:szCs w:val="24"/>
        </w:rPr>
      </w:pPr>
      <w:r>
        <w:rPr>
          <w:rFonts w:hint="eastAsia" w:ascii="黑体" w:hAnsi="黑体" w:eastAsia="黑体" w:cs="Times New Roman"/>
          <w:sz w:val="24"/>
          <w:szCs w:val="24"/>
        </w:rPr>
        <w:t xml:space="preserve">    二、法定代表人身份证明书（格式）</w:t>
      </w:r>
    </w:p>
    <w:p>
      <w:pPr>
        <w:spacing w:line="440" w:lineRule="exact"/>
        <w:jc w:val="center"/>
        <w:rPr>
          <w:rFonts w:ascii="黑体" w:hAnsi="黑体" w:eastAsia="黑体" w:cs="Times New Roman"/>
          <w:sz w:val="24"/>
          <w:szCs w:val="24"/>
        </w:rPr>
      </w:pPr>
      <w:r>
        <w:rPr>
          <w:rFonts w:hint="eastAsia" w:ascii="黑体" w:hAnsi="黑体" w:eastAsia="黑体" w:cs="Times New Roman"/>
          <w:sz w:val="24"/>
          <w:szCs w:val="24"/>
        </w:rPr>
        <w:t>法定代表人身份证明书</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采购项目名称</w:t>
      </w:r>
      <w:r>
        <w:rPr>
          <w:rFonts w:hint="eastAsia" w:ascii="仿宋" w:hAnsi="仿宋" w:eastAsia="仿宋" w:cs="Times New Roman"/>
          <w:sz w:val="24"/>
          <w:szCs w:val="24"/>
          <w:u w:val="single"/>
        </w:rPr>
        <w:t xml:space="preserve">：               </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致</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（采购单位名称）：</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（法定代表人姓名）在</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（投标人名称）任</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 xml:space="preserve">（职务名称）职务，是 </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（投标人名称）的法定代表人。</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特此证明。</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（投标人公章）</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年   月   日</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（附：法定代表人身份证复印件）</w:t>
      </w:r>
    </w:p>
    <w:p>
      <w:pPr>
        <w:spacing w:line="440" w:lineRule="exact"/>
        <w:rPr>
          <w:rFonts w:ascii="仿宋" w:hAnsi="仿宋" w:eastAsia="仿宋" w:cs="Times New Roman"/>
          <w:sz w:val="24"/>
          <w:szCs w:val="24"/>
        </w:rPr>
      </w:pPr>
    </w:p>
    <w:p>
      <w:pPr>
        <w:spacing w:line="440" w:lineRule="exact"/>
        <w:rPr>
          <w:rFonts w:ascii="黑体" w:hAnsi="黑体" w:eastAsia="黑体" w:cs="Times New Roman"/>
          <w:sz w:val="24"/>
          <w:szCs w:val="24"/>
        </w:rPr>
      </w:pPr>
      <w:r>
        <w:rPr>
          <w:rFonts w:hint="eastAsia" w:ascii="黑体" w:hAnsi="黑体" w:eastAsia="黑体" w:cs="Times New Roman"/>
          <w:sz w:val="24"/>
          <w:szCs w:val="24"/>
        </w:rPr>
        <w:t xml:space="preserve">    三、法定代表人授权委托书（格式）</w:t>
      </w:r>
    </w:p>
    <w:p>
      <w:pPr>
        <w:spacing w:line="440" w:lineRule="exact"/>
        <w:jc w:val="center"/>
        <w:rPr>
          <w:rFonts w:ascii="黑体" w:hAnsi="黑体" w:eastAsia="黑体" w:cs="Times New Roman"/>
          <w:sz w:val="24"/>
          <w:szCs w:val="24"/>
        </w:rPr>
      </w:pPr>
      <w:r>
        <w:rPr>
          <w:rFonts w:hint="eastAsia" w:ascii="黑体" w:hAnsi="黑体" w:eastAsia="黑体" w:cs="Times New Roman"/>
          <w:sz w:val="24"/>
          <w:szCs w:val="24"/>
        </w:rPr>
        <w:t>法定代表人授权委托书</w:t>
      </w:r>
    </w:p>
    <w:p>
      <w:pPr>
        <w:spacing w:line="440" w:lineRule="exact"/>
        <w:rPr>
          <w:rFonts w:ascii="仿宋" w:hAnsi="仿宋" w:eastAsia="仿宋" w:cs="Times New Roman"/>
          <w:sz w:val="24"/>
          <w:szCs w:val="24"/>
        </w:rPr>
      </w:pPr>
    </w:p>
    <w:p>
      <w:pPr>
        <w:spacing w:line="440" w:lineRule="exact"/>
        <w:rPr>
          <w:rFonts w:ascii="仿宋" w:hAnsi="仿宋" w:eastAsia="仿宋" w:cs="Times New Roman"/>
          <w:sz w:val="24"/>
          <w:szCs w:val="24"/>
        </w:rPr>
      </w:pPr>
      <w:r>
        <w:rPr>
          <w:rFonts w:hint="eastAsia" w:ascii="仿宋" w:hAnsi="仿宋" w:eastAsia="仿宋" w:cs="Times New Roman"/>
          <w:sz w:val="24"/>
          <w:szCs w:val="24"/>
        </w:rPr>
        <w:t>采购项目名称：</w:t>
      </w:r>
      <w:r>
        <w:rPr>
          <w:rFonts w:hint="eastAsia" w:ascii="仿宋" w:hAnsi="仿宋" w:eastAsia="仿宋" w:cs="Times New Roman"/>
          <w:sz w:val="24"/>
          <w:szCs w:val="24"/>
          <w:u w:val="single"/>
        </w:rPr>
        <w:t xml:space="preserve">                    </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致</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（采购单位名称）：</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（投标人法定代表人名称）是</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（投标人名称）的法定代表人，特授权</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（被授权人姓名及身份证代码）代表我单位全权办理</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项目的投标、谈判、签约等具体工作，并签署全部有关文件、协议及合同。</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我单位对被授权人的签名负全部责任。</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在撤消授权的书面通知以前，本授权书一直有效。被授权人在授权书有效期内签署的所有文件不因授权的撤消而失效。</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被授权人签名：               投标人法定代表人签名：</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（附：被授权人身份证复印件）</w:t>
      </w:r>
    </w:p>
    <w:p>
      <w:pPr>
        <w:spacing w:line="440" w:lineRule="exact"/>
        <w:rPr>
          <w:rFonts w:ascii="仿宋" w:hAnsi="仿宋" w:eastAsia="仿宋" w:cs="Times New Roman"/>
          <w:b/>
          <w:sz w:val="24"/>
          <w:szCs w:val="24"/>
        </w:rPr>
      </w:pPr>
    </w:p>
    <w:p>
      <w:pPr>
        <w:spacing w:line="440" w:lineRule="exact"/>
        <w:rPr>
          <w:rFonts w:ascii="黑体" w:hAnsi="黑体" w:eastAsia="黑体" w:cs="Times New Roman"/>
          <w:sz w:val="24"/>
          <w:szCs w:val="24"/>
        </w:rPr>
      </w:pPr>
      <w:r>
        <w:rPr>
          <w:rFonts w:hint="eastAsia" w:ascii="黑体" w:hAnsi="黑体" w:eastAsia="黑体" w:cs="Times New Roman"/>
          <w:sz w:val="24"/>
          <w:szCs w:val="24"/>
        </w:rPr>
        <w:t xml:space="preserve">    四、营业执照副本复印件</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提供投标单位营业执照复印件。</w:t>
      </w:r>
    </w:p>
    <w:p>
      <w:pPr>
        <w:spacing w:line="440" w:lineRule="exact"/>
        <w:rPr>
          <w:rFonts w:hint="eastAsia" w:ascii="黑体" w:hAnsi="黑体" w:eastAsia="黑体" w:cs="Times New Roman"/>
          <w:sz w:val="24"/>
          <w:szCs w:val="24"/>
        </w:rPr>
      </w:pPr>
      <w:r>
        <w:rPr>
          <w:rFonts w:hint="eastAsia" w:ascii="黑体" w:hAnsi="黑体" w:eastAsia="黑体" w:cs="Times New Roman"/>
          <w:sz w:val="24"/>
          <w:szCs w:val="24"/>
        </w:rPr>
        <w:t xml:space="preserve">    五、无重大违法记录声明</w:t>
      </w:r>
    </w:p>
    <w:p>
      <w:pPr>
        <w:pStyle w:val="2"/>
        <w:rPr>
          <w:rFonts w:hint="eastAsia"/>
        </w:rPr>
      </w:pPr>
    </w:p>
    <w:p>
      <w:pPr>
        <w:rPr>
          <w:rFonts w:hint="eastAsia"/>
        </w:rPr>
      </w:pPr>
    </w:p>
    <w:p>
      <w:pPr>
        <w:pStyle w:val="2"/>
      </w:pPr>
    </w:p>
    <w:p>
      <w:pPr>
        <w:spacing w:line="440" w:lineRule="exact"/>
        <w:jc w:val="center"/>
        <w:rPr>
          <w:rFonts w:ascii="黑体" w:hAnsi="黑体" w:eastAsia="黑体" w:cs="Times New Roman"/>
          <w:sz w:val="24"/>
          <w:szCs w:val="24"/>
        </w:rPr>
      </w:pPr>
      <w:r>
        <w:rPr>
          <w:rFonts w:hint="eastAsia" w:ascii="黑体" w:hAnsi="黑体" w:eastAsia="黑体" w:cs="Times New Roman"/>
          <w:sz w:val="24"/>
          <w:szCs w:val="24"/>
        </w:rPr>
        <w:t>无重大违法记录声明</w:t>
      </w:r>
    </w:p>
    <w:p>
      <w:pPr>
        <w:spacing w:line="440" w:lineRule="exact"/>
        <w:rPr>
          <w:rFonts w:ascii="仿宋" w:hAnsi="仿宋" w:eastAsia="仿宋" w:cs="Times New Roman"/>
          <w:sz w:val="24"/>
          <w:szCs w:val="24"/>
        </w:rPr>
      </w:pPr>
    </w:p>
    <w:p>
      <w:pPr>
        <w:spacing w:line="440" w:lineRule="exact"/>
        <w:rPr>
          <w:rFonts w:ascii="仿宋" w:hAnsi="仿宋" w:eastAsia="仿宋" w:cs="Times New Roman"/>
          <w:sz w:val="24"/>
          <w:szCs w:val="24"/>
        </w:rPr>
      </w:pPr>
      <w:r>
        <w:rPr>
          <w:rFonts w:hint="eastAsia" w:ascii="仿宋" w:hAnsi="仿宋" w:eastAsia="仿宋" w:cs="Times New Roman"/>
          <w:sz w:val="24"/>
          <w:szCs w:val="24"/>
        </w:rPr>
        <w:t>采购项目名称：</w:t>
      </w:r>
      <w:r>
        <w:rPr>
          <w:rFonts w:hint="eastAsia" w:ascii="仿宋" w:hAnsi="仿宋" w:eastAsia="仿宋" w:cs="Times New Roman"/>
          <w:sz w:val="24"/>
          <w:szCs w:val="24"/>
          <w:u w:val="single"/>
        </w:rPr>
        <w:t xml:space="preserve">              </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致</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（采购单位名称）：</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（投标人名称）郑重声明，我方参加本项目招标活动前三年内无重大违法活动记录，符合《政府采购法》规定的供应商资格条件。我方对此声明负全部法律责任。</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特此声明。</w:t>
      </w:r>
    </w:p>
    <w:p>
      <w:pPr>
        <w:spacing w:line="440" w:lineRule="exact"/>
        <w:rPr>
          <w:rFonts w:ascii="仿宋" w:hAnsi="仿宋" w:eastAsia="仿宋" w:cs="Times New Roman"/>
          <w:sz w:val="24"/>
          <w:szCs w:val="24"/>
        </w:rPr>
      </w:pPr>
    </w:p>
    <w:p>
      <w:pPr>
        <w:spacing w:line="440" w:lineRule="exact"/>
        <w:rPr>
          <w:rFonts w:ascii="仿宋" w:hAnsi="仿宋" w:eastAsia="仿宋" w:cs="Times New Roman"/>
          <w:sz w:val="24"/>
          <w:szCs w:val="24"/>
        </w:rPr>
      </w:pPr>
    </w:p>
    <w:p>
      <w:pPr>
        <w:spacing w:line="440" w:lineRule="exact"/>
        <w:rPr>
          <w:rFonts w:ascii="仿宋" w:hAnsi="仿宋" w:eastAsia="仿宋" w:cs="Times New Roman"/>
          <w:sz w:val="24"/>
          <w:szCs w:val="24"/>
        </w:rPr>
      </w:pP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（投标人公章）</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年   月   日</w:t>
      </w:r>
    </w:p>
    <w:p>
      <w:pPr>
        <w:spacing w:line="440" w:lineRule="exact"/>
        <w:rPr>
          <w:rFonts w:ascii="黑体" w:hAnsi="黑体" w:eastAsia="黑体" w:cs="Times New Roman"/>
          <w:sz w:val="24"/>
          <w:szCs w:val="24"/>
        </w:rPr>
      </w:pPr>
      <w:r>
        <w:rPr>
          <w:rFonts w:hint="eastAsia" w:ascii="黑体" w:hAnsi="黑体" w:eastAsia="黑体" w:cs="Times New Roman"/>
          <w:sz w:val="24"/>
          <w:szCs w:val="24"/>
        </w:rPr>
        <w:t xml:space="preserve">       六、诚信声明（格式）</w:t>
      </w:r>
    </w:p>
    <w:p>
      <w:pPr>
        <w:spacing w:line="440" w:lineRule="exact"/>
        <w:jc w:val="center"/>
        <w:rPr>
          <w:rFonts w:ascii="黑体" w:hAnsi="黑体" w:eastAsia="黑体" w:cs="Times New Roman"/>
          <w:sz w:val="24"/>
          <w:szCs w:val="24"/>
        </w:rPr>
      </w:pPr>
      <w:r>
        <w:rPr>
          <w:rFonts w:hint="eastAsia" w:ascii="黑体" w:hAnsi="黑体" w:eastAsia="黑体" w:cs="Times New Roman"/>
          <w:sz w:val="24"/>
          <w:szCs w:val="24"/>
        </w:rPr>
        <w:t>诚信声明</w:t>
      </w:r>
    </w:p>
    <w:p>
      <w:pPr>
        <w:spacing w:line="440" w:lineRule="exact"/>
        <w:rPr>
          <w:rFonts w:ascii="仿宋" w:hAnsi="仿宋" w:eastAsia="仿宋" w:cs="Times New Roman"/>
          <w:sz w:val="24"/>
          <w:szCs w:val="24"/>
        </w:rPr>
      </w:pP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致 </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（采购单位名称）：</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最近三年没有出现违法违规或失信行为，最近三年没有拖欠劳务费的败诉记录，最近三年没有无故弃标的不良记录，没有受到行政处罚，符合《政府采购法》规定的供应商资格条件。我方对以上声明负全部法律责任。</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特此声明。</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（投标人公章）</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年   月   日</w:t>
      </w:r>
    </w:p>
    <w:p>
      <w:pPr>
        <w:spacing w:line="440" w:lineRule="exact"/>
        <w:rPr>
          <w:rFonts w:ascii="仿宋" w:hAnsi="仿宋" w:eastAsia="仿宋" w:cs="Times New Roman"/>
          <w:sz w:val="24"/>
          <w:szCs w:val="24"/>
        </w:rPr>
      </w:pPr>
      <w:r>
        <w:rPr>
          <w:rFonts w:hint="eastAsia" w:ascii="黑体" w:hAnsi="黑体" w:eastAsia="黑体" w:cs="Times New Roman"/>
          <w:sz w:val="24"/>
          <w:szCs w:val="24"/>
        </w:rPr>
        <w:t xml:space="preserve">  </w:t>
      </w:r>
      <w:r>
        <w:rPr>
          <w:rFonts w:hint="eastAsia" w:ascii="仿宋" w:hAnsi="仿宋" w:eastAsia="仿宋" w:cs="Times New Roman"/>
          <w:sz w:val="24"/>
          <w:szCs w:val="24"/>
        </w:rPr>
        <w:t xml:space="preserve"> </w:t>
      </w:r>
      <w:r>
        <w:rPr>
          <w:rFonts w:hint="eastAsia" w:ascii="黑体" w:hAnsi="黑体" w:eastAsia="黑体" w:cs="Times New Roman"/>
          <w:sz w:val="24"/>
          <w:szCs w:val="24"/>
        </w:rPr>
        <w:t xml:space="preserve"> 七、报价资料及技术文件</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由投标人自拟报价文件和技术资料。包括报价一览表（尽量提供</w:t>
      </w:r>
      <w:r>
        <w:rPr>
          <w:rFonts w:hint="eastAsia" w:ascii="仿宋" w:hAnsi="仿宋" w:eastAsia="仿宋"/>
          <w:sz w:val="24"/>
          <w:szCs w:val="24"/>
        </w:rPr>
        <w:t>细分项</w:t>
      </w:r>
      <w:r>
        <w:rPr>
          <w:rFonts w:hint="eastAsia" w:ascii="仿宋" w:hAnsi="仿宋" w:eastAsia="仿宋" w:cs="Times New Roman"/>
          <w:sz w:val="24"/>
          <w:szCs w:val="24"/>
        </w:rPr>
        <w:t>清单），清单中需提供的物料规格、材质、品牌和技术标准等。谈判结束后提交最终报价表。</w:t>
      </w:r>
    </w:p>
    <w:p>
      <w:pPr>
        <w:spacing w:line="440" w:lineRule="exact"/>
        <w:jc w:val="center"/>
        <w:rPr>
          <w:rFonts w:ascii="黑体" w:hAnsi="黑体" w:eastAsia="黑体" w:cs="Times New Roman"/>
          <w:sz w:val="24"/>
          <w:szCs w:val="24"/>
        </w:rPr>
      </w:pPr>
      <w:r>
        <w:rPr>
          <w:rFonts w:hint="eastAsia" w:ascii="黑体" w:hAnsi="黑体" w:eastAsia="黑体" w:cs="Times New Roman"/>
          <w:sz w:val="24"/>
          <w:szCs w:val="24"/>
        </w:rPr>
        <w:t>最终报价表</w:t>
      </w:r>
    </w:p>
    <w:tbl>
      <w:tblPr>
        <w:tblStyle w:val="8"/>
        <w:tblW w:w="78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21"/>
        <w:gridCol w:w="3402"/>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421"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Times New Roman"/>
                <w:sz w:val="24"/>
                <w:szCs w:val="24"/>
              </w:rPr>
            </w:pPr>
            <w:r>
              <w:rPr>
                <w:rFonts w:hint="eastAsia" w:ascii="仿宋" w:hAnsi="仿宋" w:eastAsia="仿宋" w:cs="Times New Roman"/>
                <w:sz w:val="24"/>
                <w:szCs w:val="24"/>
              </w:rPr>
              <w:t>项目名称</w:t>
            </w:r>
          </w:p>
        </w:tc>
        <w:tc>
          <w:tcPr>
            <w:tcW w:w="3402" w:type="dxa"/>
            <w:tcBorders>
              <w:top w:val="single" w:color="auto" w:sz="4" w:space="0"/>
              <w:left w:val="nil"/>
              <w:bottom w:val="single" w:color="auto" w:sz="4" w:space="0"/>
              <w:right w:val="single" w:color="auto" w:sz="4" w:space="0"/>
            </w:tcBorders>
            <w:vAlign w:val="center"/>
          </w:tcPr>
          <w:p>
            <w:pPr>
              <w:rPr>
                <w:rFonts w:ascii="仿宋" w:hAnsi="仿宋" w:eastAsia="仿宋" w:cs="Times New Roman"/>
                <w:sz w:val="24"/>
                <w:szCs w:val="24"/>
              </w:rPr>
            </w:pPr>
            <w:r>
              <w:rPr>
                <w:rFonts w:hint="eastAsia" w:ascii="仿宋" w:hAnsi="仿宋" w:eastAsia="仿宋" w:cs="Times New Roman"/>
                <w:sz w:val="24"/>
                <w:szCs w:val="24"/>
              </w:rPr>
              <w:t>总价报价金额（小写）</w:t>
            </w:r>
          </w:p>
        </w:tc>
        <w:tc>
          <w:tcPr>
            <w:tcW w:w="1980" w:type="dxa"/>
            <w:tcBorders>
              <w:top w:val="single" w:color="auto" w:sz="4" w:space="0"/>
              <w:left w:val="nil"/>
              <w:bottom w:val="single" w:color="auto" w:sz="4" w:space="0"/>
              <w:right w:val="single" w:color="auto" w:sz="4" w:space="0"/>
            </w:tcBorders>
            <w:vAlign w:val="center"/>
          </w:tcPr>
          <w:p>
            <w:pPr>
              <w:rPr>
                <w:rFonts w:ascii="仿宋" w:hAnsi="仿宋" w:eastAsia="仿宋" w:cs="Times New Roman"/>
                <w:sz w:val="24"/>
                <w:szCs w:val="24"/>
              </w:rPr>
            </w:pPr>
            <w:r>
              <w:rPr>
                <w:rFonts w:hint="eastAsia" w:ascii="仿宋" w:hAnsi="仿宋" w:eastAsia="仿宋" w:cs="Times New Roman"/>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9" w:hRule="atLeast"/>
          <w:jc w:val="center"/>
        </w:trPr>
        <w:tc>
          <w:tcPr>
            <w:tcW w:w="242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4"/>
                <w:szCs w:val="24"/>
              </w:rPr>
            </w:pPr>
            <w:r>
              <w:rPr>
                <w:rFonts w:hint="eastAsia" w:ascii="仿宋" w:hAnsi="仿宋" w:eastAsia="仿宋"/>
                <w:sz w:val="24"/>
                <w:szCs w:val="24"/>
              </w:rPr>
              <w:t xml:space="preserve">2020中国·重庆潼南国际柠檬节开幕式（峰会）  </w:t>
            </w:r>
          </w:p>
        </w:tc>
        <w:tc>
          <w:tcPr>
            <w:tcW w:w="3402" w:type="dxa"/>
            <w:tcBorders>
              <w:top w:val="single" w:color="auto" w:sz="4" w:space="0"/>
              <w:left w:val="nil"/>
              <w:bottom w:val="single" w:color="auto" w:sz="4" w:space="0"/>
              <w:right w:val="single" w:color="auto" w:sz="4" w:space="0"/>
            </w:tcBorders>
            <w:vAlign w:val="top"/>
          </w:tcPr>
          <w:p>
            <w:pPr>
              <w:rPr>
                <w:rFonts w:ascii="仿宋" w:hAnsi="仿宋" w:eastAsia="仿宋" w:cs="Times New Roman"/>
                <w:sz w:val="24"/>
                <w:szCs w:val="24"/>
              </w:rPr>
            </w:pPr>
          </w:p>
        </w:tc>
        <w:tc>
          <w:tcPr>
            <w:tcW w:w="1980" w:type="dxa"/>
            <w:tcBorders>
              <w:top w:val="single" w:color="auto" w:sz="4" w:space="0"/>
              <w:left w:val="nil"/>
              <w:bottom w:val="single" w:color="auto" w:sz="4" w:space="0"/>
              <w:right w:val="single" w:color="auto" w:sz="4" w:space="0"/>
            </w:tcBorders>
            <w:vAlign w:val="top"/>
          </w:tcPr>
          <w:p>
            <w:pPr>
              <w:rPr>
                <w:rFonts w:ascii="仿宋" w:hAnsi="仿宋" w:eastAsia="仿宋"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3" w:hRule="atLeast"/>
          <w:jc w:val="center"/>
        </w:trPr>
        <w:tc>
          <w:tcPr>
            <w:tcW w:w="7803" w:type="dxa"/>
            <w:gridSpan w:val="3"/>
            <w:tcBorders>
              <w:top w:val="single" w:color="auto" w:sz="4" w:space="0"/>
              <w:left w:val="single" w:color="auto" w:sz="4" w:space="0"/>
              <w:bottom w:val="single" w:color="auto" w:sz="4" w:space="0"/>
              <w:right w:val="single" w:color="auto" w:sz="4" w:space="0"/>
            </w:tcBorders>
            <w:vAlign w:val="top"/>
          </w:tcPr>
          <w:p>
            <w:pPr>
              <w:rPr>
                <w:rFonts w:ascii="仿宋" w:hAnsi="仿宋" w:eastAsia="仿宋" w:cs="Times New Roman"/>
                <w:sz w:val="24"/>
                <w:szCs w:val="24"/>
              </w:rPr>
            </w:pPr>
            <w:r>
              <w:rPr>
                <w:rFonts w:hint="eastAsia" w:ascii="仿宋" w:hAnsi="仿宋" w:eastAsia="仿宋" w:cs="Times New Roman"/>
                <w:sz w:val="24"/>
                <w:szCs w:val="24"/>
              </w:rPr>
              <w:t>总价价报价金额（大写）：</w:t>
            </w:r>
            <w:r>
              <w:rPr>
                <w:rFonts w:ascii="仿宋" w:hAnsi="仿宋" w:eastAsia="仿宋" w:cs="Times New Roman"/>
                <w:sz w:val="24"/>
                <w:szCs w:val="24"/>
              </w:rPr>
              <w:t xml:space="preserve"> </w:t>
            </w:r>
          </w:p>
        </w:tc>
      </w:tr>
    </w:tbl>
    <w:p>
      <w:pPr>
        <w:rPr>
          <w:rFonts w:ascii="仿宋" w:hAnsi="仿宋" w:eastAsia="仿宋" w:cs="Times New Roman"/>
          <w:sz w:val="24"/>
          <w:szCs w:val="24"/>
        </w:rPr>
      </w:pPr>
      <w:r>
        <w:rPr>
          <w:rFonts w:hint="eastAsia" w:ascii="仿宋" w:hAnsi="仿宋" w:eastAsia="仿宋" w:cs="Times New Roman"/>
          <w:sz w:val="24"/>
          <w:szCs w:val="24"/>
        </w:rPr>
        <w:t xml:space="preserve">     投标人：                            法人授权代表：</w:t>
      </w:r>
    </w:p>
    <w:p>
      <w:pPr>
        <w:rPr>
          <w:rFonts w:ascii="仿宋" w:hAnsi="仿宋" w:eastAsia="仿宋" w:cs="Times New Roman"/>
          <w:sz w:val="24"/>
          <w:szCs w:val="24"/>
        </w:rPr>
      </w:pPr>
      <w:r>
        <w:rPr>
          <w:rFonts w:hint="eastAsia" w:ascii="仿宋" w:hAnsi="仿宋" w:eastAsia="仿宋" w:cs="Times New Roman"/>
          <w:sz w:val="24"/>
          <w:szCs w:val="24"/>
        </w:rPr>
        <w:t xml:space="preserve">   （投标人公章）                               </w:t>
      </w:r>
    </w:p>
    <w:p>
      <w:pPr>
        <w:rPr>
          <w:rFonts w:ascii="仿宋" w:hAnsi="仿宋" w:eastAsia="仿宋" w:cs="Times New Roman"/>
          <w:sz w:val="24"/>
          <w:szCs w:val="24"/>
        </w:rPr>
      </w:pPr>
      <w:r>
        <w:rPr>
          <w:rFonts w:hint="eastAsia" w:ascii="方正仿宋_GBK" w:hAnsi="宋体" w:eastAsia="方正仿宋_GBK"/>
          <w:color w:val="000000"/>
          <w:sz w:val="32"/>
          <w:szCs w:val="32"/>
        </w:rPr>
        <w:t xml:space="preserve">  </w:t>
      </w:r>
      <w:r>
        <w:rPr>
          <w:rFonts w:hint="eastAsia" w:ascii="仿宋" w:hAnsi="仿宋" w:eastAsia="仿宋" w:cs="Times New Roman"/>
          <w:sz w:val="24"/>
          <w:szCs w:val="24"/>
        </w:rPr>
        <w:t xml:space="preserve">                                          年     月     日</w:t>
      </w:r>
    </w:p>
    <w:p>
      <w:pPr>
        <w:rPr>
          <w:rFonts w:ascii="仿宋" w:hAnsi="仿宋" w:eastAsia="仿宋" w:cs="Times New Roman"/>
          <w:sz w:val="24"/>
          <w:szCs w:val="24"/>
        </w:rPr>
      </w:pPr>
      <w:r>
        <w:rPr>
          <w:rFonts w:hint="eastAsia" w:ascii="仿宋" w:hAnsi="仿宋" w:eastAsia="仿宋" w:cs="Times New Roman"/>
          <w:sz w:val="24"/>
          <w:szCs w:val="24"/>
        </w:rPr>
        <w:t xml:space="preserve">    说明：请投标人将最终报价表单独打印，以便在谈判结束后，向谈判小组现场提交。若未填报或未提交最终报价表的，以第一次报价为准。</w:t>
      </w:r>
    </w:p>
    <w:p>
      <w:pPr>
        <w:spacing w:line="440" w:lineRule="exact"/>
        <w:rPr>
          <w:rFonts w:ascii="黑体" w:hAnsi="黑体" w:eastAsia="黑体" w:cs="Times New Roman"/>
          <w:sz w:val="24"/>
          <w:szCs w:val="24"/>
        </w:rPr>
      </w:pPr>
      <w:r>
        <w:rPr>
          <w:rFonts w:hint="eastAsia" w:ascii="黑体" w:hAnsi="黑体" w:eastAsia="黑体" w:cs="Times New Roman"/>
          <w:sz w:val="24"/>
          <w:szCs w:val="24"/>
        </w:rPr>
        <w:t xml:space="preserve">    八、特定资格条件证书或复印件(如有）</w:t>
      </w:r>
    </w:p>
    <w:p>
      <w:pPr>
        <w:spacing w:line="440" w:lineRule="exact"/>
        <w:rPr>
          <w:rFonts w:ascii="黑体" w:hAnsi="黑体" w:eastAsia="黑体" w:cs="Times New Roman"/>
          <w:sz w:val="24"/>
          <w:szCs w:val="24"/>
        </w:rPr>
      </w:pPr>
      <w:r>
        <w:rPr>
          <w:rFonts w:hint="eastAsia" w:ascii="黑体" w:hAnsi="黑体" w:eastAsia="黑体" w:cs="Times New Roman"/>
          <w:sz w:val="24"/>
          <w:szCs w:val="24"/>
        </w:rPr>
        <w:t xml:space="preserve">    九、同类成功案例的业绩证明</w:t>
      </w:r>
    </w:p>
    <w:p>
      <w:pPr>
        <w:spacing w:line="440" w:lineRule="exact"/>
        <w:rPr>
          <w:rFonts w:ascii="黑体" w:hAnsi="黑体" w:eastAsia="黑体" w:cs="Times New Roman"/>
          <w:sz w:val="24"/>
          <w:szCs w:val="24"/>
        </w:rPr>
      </w:pPr>
      <w:r>
        <w:rPr>
          <w:rFonts w:hint="eastAsia" w:ascii="黑体" w:hAnsi="黑体" w:eastAsia="黑体" w:cs="Times New Roman"/>
          <w:sz w:val="24"/>
          <w:szCs w:val="24"/>
        </w:rPr>
        <w:t xml:space="preserve">    十、其他资料</w:t>
      </w:r>
    </w:p>
    <w:p>
      <w:pPr>
        <w:spacing w:line="440" w:lineRule="exact"/>
        <w:rPr>
          <w:rFonts w:ascii="仿宋" w:hAnsi="仿宋" w:eastAsia="仿宋" w:cs="Times New Roman"/>
          <w:b/>
          <w:sz w:val="24"/>
          <w:szCs w:val="24"/>
        </w:rPr>
      </w:pPr>
      <w:r>
        <w:rPr>
          <w:rFonts w:hint="eastAsia" w:ascii="仿宋" w:hAnsi="仿宋" w:eastAsia="仿宋" w:cs="Times New Roman"/>
          <w:b/>
          <w:sz w:val="24"/>
          <w:szCs w:val="24"/>
        </w:rPr>
        <w:t xml:space="preserve">   </w:t>
      </w:r>
      <w:r>
        <w:rPr>
          <w:rFonts w:hint="eastAsia" w:ascii="仿宋" w:hAnsi="仿宋" w:eastAsia="仿宋" w:cs="Times New Roman"/>
          <w:sz w:val="24"/>
          <w:szCs w:val="24"/>
        </w:rPr>
        <w:t xml:space="preserve"> 如提交服务方案和其他资料等，格式由投标人自定。</w:t>
      </w:r>
    </w:p>
    <w:p>
      <w:pPr>
        <w:spacing w:line="440" w:lineRule="exact"/>
        <w:jc w:val="center"/>
        <w:rPr>
          <w:rFonts w:ascii="黑体" w:hAnsi="黑体" w:eastAsia="黑体" w:cs="Times New Roman"/>
          <w:sz w:val="24"/>
          <w:szCs w:val="24"/>
        </w:rPr>
      </w:pPr>
      <w:bookmarkStart w:id="14" w:name="_Toc30191"/>
    </w:p>
    <w:p>
      <w:pPr>
        <w:spacing w:line="440" w:lineRule="exact"/>
        <w:jc w:val="center"/>
        <w:rPr>
          <w:rFonts w:ascii="黑体" w:hAnsi="黑体" w:eastAsia="黑体" w:cs="Times New Roman"/>
          <w:sz w:val="24"/>
          <w:szCs w:val="24"/>
        </w:rPr>
      </w:pPr>
      <w:r>
        <w:rPr>
          <w:rFonts w:hint="eastAsia" w:ascii="黑体" w:hAnsi="黑体" w:eastAsia="黑体" w:cs="Times New Roman"/>
          <w:sz w:val="24"/>
          <w:szCs w:val="24"/>
        </w:rPr>
        <w:t>第七篇  合同主要条款和格式合同（样本）</w:t>
      </w:r>
      <w:bookmarkEnd w:id="14"/>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 xml:space="preserve">    格式自定，由成交人根据项目特点进行编制，内容必须包括投标文件商务部分主要内容和磋商中承诺内容，经与采购人双方签订盖章后方能生效。</w:t>
      </w:r>
    </w:p>
    <w:p>
      <w:pPr>
        <w:rPr>
          <w:szCs w:val="24"/>
        </w:rPr>
      </w:pPr>
    </w:p>
    <w:p>
      <w:pPr>
        <w:widowControl/>
        <w:spacing w:line="500" w:lineRule="exact"/>
        <w:jc w:val="left"/>
        <w:rPr>
          <w:rFonts w:ascii="仿宋" w:hAnsi="仿宋" w:eastAsia="仿宋"/>
          <w:sz w:val="24"/>
          <w:szCs w:val="24"/>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附件三：</w:t>
      </w:r>
    </w:p>
    <w:p>
      <w:pPr>
        <w:spacing w:line="540" w:lineRule="exact"/>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2020中国·重庆潼南国际柠檬节开幕式（峰会）</w:t>
      </w:r>
    </w:p>
    <w:p>
      <w:pPr>
        <w:spacing w:line="540" w:lineRule="exact"/>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服务采购项目竞争性谈判方案</w:t>
      </w:r>
    </w:p>
    <w:p>
      <w:pPr>
        <w:spacing w:line="500" w:lineRule="exact"/>
        <w:jc w:val="center"/>
        <w:rPr>
          <w:rFonts w:ascii="仿宋" w:hAnsi="仿宋" w:eastAsia="仿宋"/>
          <w:sz w:val="30"/>
          <w:szCs w:val="30"/>
        </w:rPr>
      </w:pPr>
      <w:r>
        <w:rPr>
          <w:rFonts w:hint="eastAsia" w:ascii="仿宋" w:hAnsi="仿宋" w:eastAsia="仿宋"/>
          <w:sz w:val="30"/>
          <w:szCs w:val="30"/>
        </w:rPr>
        <w:t>（2020年10月16日上午10：00）</w:t>
      </w:r>
    </w:p>
    <w:p>
      <w:pPr>
        <w:spacing w:line="500" w:lineRule="exact"/>
        <w:rPr>
          <w:rFonts w:ascii="仿宋" w:hAnsi="仿宋" w:eastAsia="仿宋"/>
          <w:sz w:val="30"/>
          <w:szCs w:val="30"/>
        </w:rPr>
      </w:pPr>
      <w:r>
        <w:rPr>
          <w:rFonts w:hint="eastAsia" w:ascii="仿宋" w:hAnsi="仿宋" w:eastAsia="仿宋"/>
          <w:sz w:val="30"/>
          <w:szCs w:val="30"/>
        </w:rPr>
        <w:t xml:space="preserve">    </w:t>
      </w:r>
    </w:p>
    <w:p>
      <w:pPr>
        <w:spacing w:line="500" w:lineRule="exact"/>
        <w:rPr>
          <w:rFonts w:ascii="黑体" w:hAnsi="黑体" w:eastAsia="黑体"/>
          <w:sz w:val="30"/>
          <w:szCs w:val="30"/>
        </w:rPr>
      </w:pPr>
      <w:r>
        <w:rPr>
          <w:rFonts w:hint="eastAsia" w:ascii="黑体" w:hAnsi="黑体" w:eastAsia="黑体"/>
          <w:sz w:val="30"/>
          <w:szCs w:val="30"/>
        </w:rPr>
        <w:t xml:space="preserve">    一、主持人</w:t>
      </w:r>
    </w:p>
    <w:p>
      <w:pPr>
        <w:spacing w:line="500" w:lineRule="exact"/>
        <w:rPr>
          <w:rFonts w:ascii="黑体" w:hAnsi="黑体" w:eastAsia="仿宋"/>
          <w:sz w:val="30"/>
          <w:szCs w:val="30"/>
        </w:rPr>
      </w:pPr>
      <w:r>
        <w:rPr>
          <w:rFonts w:hint="eastAsia" w:ascii="黑体" w:hAnsi="黑体" w:eastAsia="黑体"/>
          <w:sz w:val="30"/>
          <w:szCs w:val="30"/>
        </w:rPr>
        <w:t xml:space="preserve">    </w:t>
      </w:r>
      <w:r>
        <w:rPr>
          <w:rFonts w:hint="eastAsia" w:ascii="仿宋" w:hAnsi="仿宋" w:eastAsia="仿宋"/>
          <w:sz w:val="30"/>
          <w:szCs w:val="30"/>
        </w:rPr>
        <w:t>招标工作领导小组成员：余艳清</w:t>
      </w:r>
    </w:p>
    <w:p>
      <w:pPr>
        <w:spacing w:line="500" w:lineRule="exact"/>
        <w:rPr>
          <w:rFonts w:ascii="黑体" w:hAnsi="黑体" w:eastAsia="黑体"/>
          <w:sz w:val="30"/>
          <w:szCs w:val="30"/>
        </w:rPr>
      </w:pPr>
      <w:r>
        <w:rPr>
          <w:rFonts w:hint="eastAsia" w:ascii="黑体" w:hAnsi="黑体" w:eastAsia="黑体"/>
          <w:sz w:val="30"/>
          <w:szCs w:val="30"/>
        </w:rPr>
        <w:t xml:space="preserve">    二、谈判小组成员（5人）</w:t>
      </w:r>
    </w:p>
    <w:p>
      <w:pPr>
        <w:spacing w:line="500" w:lineRule="exact"/>
        <w:rPr>
          <w:rFonts w:ascii="仿宋" w:hAnsi="仿宋" w:eastAsia="仿宋"/>
          <w:sz w:val="30"/>
          <w:szCs w:val="30"/>
        </w:rPr>
      </w:pPr>
      <w:r>
        <w:rPr>
          <w:rFonts w:hint="eastAsia" w:ascii="仿宋" w:hAnsi="仿宋" w:eastAsia="仿宋"/>
          <w:sz w:val="30"/>
          <w:szCs w:val="30"/>
        </w:rPr>
        <w:t xml:space="preserve">    薛泽源、钟平胜、邓雪梅、陈科良、徐肯</w:t>
      </w:r>
    </w:p>
    <w:p>
      <w:pPr>
        <w:spacing w:line="500" w:lineRule="exact"/>
        <w:rPr>
          <w:rFonts w:ascii="黑体" w:hAnsi="黑体" w:eastAsia="黑体"/>
          <w:sz w:val="30"/>
          <w:szCs w:val="30"/>
        </w:rPr>
      </w:pPr>
      <w:r>
        <w:rPr>
          <w:rFonts w:hint="eastAsia" w:ascii="黑体" w:hAnsi="黑体" w:eastAsia="黑体"/>
          <w:sz w:val="30"/>
          <w:szCs w:val="30"/>
        </w:rPr>
        <w:t xml:space="preserve">    三、工作人员</w:t>
      </w:r>
    </w:p>
    <w:p>
      <w:pPr>
        <w:spacing w:line="500" w:lineRule="exact"/>
        <w:rPr>
          <w:rFonts w:ascii="仿宋" w:hAnsi="仿宋" w:eastAsia="仿宋"/>
          <w:sz w:val="30"/>
          <w:szCs w:val="30"/>
        </w:rPr>
      </w:pPr>
      <w:r>
        <w:rPr>
          <w:rFonts w:hint="eastAsia" w:ascii="仿宋" w:hAnsi="仿宋" w:eastAsia="仿宋"/>
          <w:sz w:val="30"/>
          <w:szCs w:val="30"/>
        </w:rPr>
        <w:t xml:space="preserve">    监督员：杨小军 </w:t>
      </w:r>
    </w:p>
    <w:p>
      <w:pPr>
        <w:spacing w:line="500" w:lineRule="exact"/>
        <w:rPr>
          <w:rFonts w:ascii="仿宋" w:hAnsi="仿宋" w:eastAsia="仿宋"/>
          <w:sz w:val="30"/>
          <w:szCs w:val="30"/>
        </w:rPr>
      </w:pPr>
      <w:r>
        <w:rPr>
          <w:rFonts w:hint="eastAsia" w:ascii="仿宋" w:hAnsi="仿宋" w:eastAsia="仿宋"/>
          <w:sz w:val="30"/>
          <w:szCs w:val="30"/>
        </w:rPr>
        <w:t xml:space="preserve">    投标签到：李静</w:t>
      </w:r>
    </w:p>
    <w:p>
      <w:pPr>
        <w:spacing w:line="500" w:lineRule="exact"/>
        <w:ind w:firstLine="600"/>
        <w:rPr>
          <w:rFonts w:ascii="仿宋" w:hAnsi="仿宋" w:eastAsia="仿宋"/>
          <w:sz w:val="30"/>
          <w:szCs w:val="30"/>
        </w:rPr>
      </w:pPr>
      <w:r>
        <w:rPr>
          <w:rFonts w:hint="eastAsia" w:ascii="仿宋" w:hAnsi="仿宋" w:eastAsia="仿宋"/>
          <w:sz w:val="30"/>
          <w:szCs w:val="30"/>
        </w:rPr>
        <w:t>统计员：马艾</w:t>
      </w:r>
    </w:p>
    <w:p>
      <w:pPr>
        <w:numPr>
          <w:ilvl w:val="0"/>
          <w:numId w:val="1"/>
        </w:numPr>
        <w:spacing w:line="500" w:lineRule="exact"/>
        <w:ind w:firstLine="600"/>
        <w:rPr>
          <w:rFonts w:ascii="黑体" w:hAnsi="黑体" w:eastAsia="黑体"/>
          <w:sz w:val="30"/>
          <w:szCs w:val="30"/>
        </w:rPr>
      </w:pPr>
      <w:r>
        <w:rPr>
          <w:rFonts w:hint="eastAsia" w:ascii="黑体" w:hAnsi="黑体" w:eastAsia="黑体"/>
          <w:sz w:val="30"/>
          <w:szCs w:val="30"/>
        </w:rPr>
        <w:t>开标程序</w:t>
      </w:r>
    </w:p>
    <w:p>
      <w:pPr>
        <w:numPr>
          <w:ilvl w:val="0"/>
          <w:numId w:val="2"/>
        </w:numPr>
        <w:spacing w:line="500" w:lineRule="exact"/>
        <w:ind w:firstLine="600" w:firstLineChars="200"/>
        <w:rPr>
          <w:rFonts w:ascii="仿宋" w:hAnsi="仿宋" w:eastAsia="仿宋"/>
          <w:sz w:val="30"/>
          <w:szCs w:val="30"/>
        </w:rPr>
      </w:pPr>
      <w:r>
        <w:rPr>
          <w:rFonts w:hint="eastAsia" w:ascii="仿宋" w:hAnsi="仿宋" w:eastAsia="仿宋"/>
          <w:sz w:val="30"/>
          <w:szCs w:val="30"/>
        </w:rPr>
        <w:t>介绍项目基本情况；</w:t>
      </w:r>
    </w:p>
    <w:p>
      <w:pPr>
        <w:numPr>
          <w:ilvl w:val="0"/>
          <w:numId w:val="2"/>
        </w:numPr>
        <w:spacing w:line="500" w:lineRule="exact"/>
        <w:ind w:firstLine="600" w:firstLineChars="200"/>
        <w:rPr>
          <w:rFonts w:ascii="仿宋" w:hAnsi="仿宋" w:eastAsia="仿宋"/>
          <w:sz w:val="30"/>
          <w:szCs w:val="30"/>
        </w:rPr>
      </w:pPr>
      <w:r>
        <w:rPr>
          <w:rFonts w:hint="eastAsia" w:ascii="仿宋" w:hAnsi="仿宋" w:eastAsia="仿宋"/>
          <w:sz w:val="30"/>
          <w:szCs w:val="30"/>
        </w:rPr>
        <w:t>宣布纪律；</w:t>
      </w:r>
    </w:p>
    <w:p>
      <w:pPr>
        <w:numPr>
          <w:ilvl w:val="0"/>
          <w:numId w:val="2"/>
        </w:numPr>
        <w:spacing w:line="500" w:lineRule="exact"/>
        <w:ind w:firstLine="600" w:firstLineChars="200"/>
        <w:rPr>
          <w:rFonts w:ascii="仿宋" w:hAnsi="仿宋" w:eastAsia="仿宋"/>
          <w:sz w:val="30"/>
          <w:szCs w:val="30"/>
        </w:rPr>
      </w:pPr>
      <w:r>
        <w:rPr>
          <w:rFonts w:hint="eastAsia" w:ascii="仿宋" w:hAnsi="仿宋" w:eastAsia="仿宋"/>
          <w:sz w:val="30"/>
          <w:szCs w:val="30"/>
        </w:rPr>
        <w:t>（1）清点投标截止时间内共几家公司参与本次投标并点名；</w:t>
      </w:r>
    </w:p>
    <w:p>
      <w:pPr>
        <w:numPr>
          <w:ilvl w:val="0"/>
          <w:numId w:val="3"/>
        </w:numPr>
        <w:spacing w:line="500" w:lineRule="exact"/>
        <w:ind w:firstLine="1200" w:firstLineChars="400"/>
        <w:rPr>
          <w:rFonts w:ascii="仿宋" w:hAnsi="仿宋" w:eastAsia="仿宋"/>
          <w:sz w:val="30"/>
          <w:szCs w:val="30"/>
        </w:rPr>
      </w:pPr>
      <w:r>
        <w:rPr>
          <w:rFonts w:hint="eastAsia" w:ascii="仿宋" w:hAnsi="仿宋" w:eastAsia="仿宋"/>
          <w:sz w:val="30"/>
          <w:szCs w:val="30"/>
        </w:rPr>
        <w:t>检查标书密封情况；</w:t>
      </w:r>
    </w:p>
    <w:p>
      <w:pPr>
        <w:numPr>
          <w:ilvl w:val="0"/>
          <w:numId w:val="3"/>
        </w:numPr>
        <w:spacing w:line="500" w:lineRule="exact"/>
        <w:ind w:firstLine="1200" w:firstLineChars="400"/>
        <w:rPr>
          <w:rFonts w:ascii="仿宋" w:hAnsi="仿宋" w:eastAsia="仿宋"/>
          <w:sz w:val="30"/>
          <w:szCs w:val="30"/>
        </w:rPr>
      </w:pPr>
      <w:r>
        <w:rPr>
          <w:rFonts w:hint="eastAsia" w:ascii="仿宋" w:hAnsi="仿宋" w:eastAsia="仿宋"/>
          <w:sz w:val="30"/>
          <w:szCs w:val="30"/>
        </w:rPr>
        <w:t>开启标书，宣布一式几份，不宣布报价</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4、标书送评标评审。</w:t>
      </w:r>
    </w:p>
    <w:p>
      <w:pPr>
        <w:spacing w:line="500" w:lineRule="exact"/>
        <w:rPr>
          <w:rFonts w:ascii="黑体" w:hAnsi="黑体" w:eastAsia="黑体"/>
          <w:sz w:val="30"/>
          <w:szCs w:val="30"/>
        </w:rPr>
      </w:pPr>
      <w:r>
        <w:rPr>
          <w:rFonts w:hint="eastAsia" w:ascii="仿宋" w:hAnsi="仿宋" w:eastAsia="仿宋"/>
          <w:sz w:val="30"/>
          <w:szCs w:val="30"/>
        </w:rPr>
        <w:t xml:space="preserve">    </w:t>
      </w:r>
      <w:r>
        <w:rPr>
          <w:rFonts w:hint="eastAsia" w:ascii="黑体" w:hAnsi="黑体" w:eastAsia="黑体"/>
          <w:sz w:val="30"/>
          <w:szCs w:val="30"/>
        </w:rPr>
        <w:t>五、评标程序</w:t>
      </w:r>
    </w:p>
    <w:p>
      <w:pPr>
        <w:spacing w:line="500" w:lineRule="exact"/>
        <w:ind w:firstLine="600"/>
        <w:rPr>
          <w:rFonts w:ascii="仿宋" w:hAnsi="仿宋" w:eastAsia="仿宋"/>
          <w:sz w:val="30"/>
          <w:szCs w:val="30"/>
        </w:rPr>
      </w:pPr>
      <w:r>
        <w:rPr>
          <w:rFonts w:hint="eastAsia" w:ascii="仿宋" w:hAnsi="仿宋" w:eastAsia="仿宋"/>
          <w:sz w:val="30"/>
          <w:szCs w:val="30"/>
        </w:rPr>
        <w:t>1、评审专家签到，熟悉谈判文件；</w:t>
      </w:r>
    </w:p>
    <w:p>
      <w:pPr>
        <w:spacing w:line="500" w:lineRule="exact"/>
        <w:ind w:firstLine="600"/>
        <w:rPr>
          <w:rFonts w:ascii="仿宋" w:hAnsi="仿宋" w:eastAsia="仿宋"/>
          <w:sz w:val="30"/>
          <w:szCs w:val="30"/>
        </w:rPr>
      </w:pPr>
      <w:r>
        <w:rPr>
          <w:rFonts w:hint="eastAsia" w:ascii="仿宋" w:hAnsi="仿宋" w:eastAsia="仿宋"/>
          <w:sz w:val="30"/>
          <w:szCs w:val="30"/>
        </w:rPr>
        <w:t>2、投标人资格审查。签到人报告截止响应文件递交时间投标人签到情况；谈判小组对提交响应文件开封，审查投标人资格，确定参加谈判投标人。</w:t>
      </w:r>
    </w:p>
    <w:p>
      <w:pPr>
        <w:spacing w:line="500" w:lineRule="exact"/>
        <w:rPr>
          <w:rFonts w:ascii="仿宋" w:hAnsi="仿宋" w:eastAsia="仿宋"/>
          <w:sz w:val="30"/>
          <w:szCs w:val="30"/>
        </w:rPr>
      </w:pPr>
      <w:r>
        <w:rPr>
          <w:rFonts w:hint="eastAsia" w:ascii="仿宋" w:hAnsi="仿宋" w:eastAsia="仿宋"/>
          <w:sz w:val="30"/>
          <w:szCs w:val="30"/>
        </w:rPr>
        <w:t xml:space="preserve">    3、竞争性谈判。谈判小组与投标供人逐一见面，投标人就响应文件内容（技术规格及报价、服务承诺等）作说明。</w:t>
      </w:r>
    </w:p>
    <w:p>
      <w:pPr>
        <w:spacing w:line="500" w:lineRule="exact"/>
        <w:rPr>
          <w:rFonts w:ascii="仿宋" w:hAnsi="仿宋" w:eastAsia="仿宋"/>
          <w:sz w:val="30"/>
          <w:szCs w:val="30"/>
        </w:rPr>
      </w:pPr>
      <w:r>
        <w:rPr>
          <w:rFonts w:hint="eastAsia" w:ascii="仿宋" w:hAnsi="仿宋" w:eastAsia="仿宋"/>
          <w:sz w:val="30"/>
          <w:szCs w:val="30"/>
        </w:rPr>
        <w:t xml:space="preserve">    谈判过程中谈判小组成员可对投标人质询提问，投标人根据提问作补充说明。谈判结束后，投标人作最终报价。</w:t>
      </w:r>
    </w:p>
    <w:p>
      <w:pPr>
        <w:spacing w:line="500" w:lineRule="exact"/>
        <w:rPr>
          <w:rFonts w:ascii="仿宋" w:hAnsi="仿宋" w:eastAsia="仿宋"/>
          <w:sz w:val="30"/>
          <w:szCs w:val="30"/>
        </w:rPr>
      </w:pPr>
      <w:r>
        <w:rPr>
          <w:rFonts w:hint="eastAsia" w:ascii="仿宋" w:hAnsi="仿宋" w:eastAsia="仿宋"/>
          <w:sz w:val="30"/>
          <w:szCs w:val="30"/>
        </w:rPr>
        <w:t xml:space="preserve">    （供应商退场，等候评分。）</w:t>
      </w:r>
    </w:p>
    <w:p>
      <w:pPr>
        <w:spacing w:line="500" w:lineRule="exact"/>
        <w:rPr>
          <w:rFonts w:ascii="仿宋" w:hAnsi="仿宋" w:eastAsia="仿宋"/>
          <w:sz w:val="30"/>
          <w:szCs w:val="30"/>
        </w:rPr>
      </w:pPr>
      <w:r>
        <w:rPr>
          <w:rFonts w:hint="eastAsia" w:ascii="仿宋" w:hAnsi="仿宋" w:eastAsia="仿宋"/>
          <w:sz w:val="30"/>
          <w:szCs w:val="30"/>
        </w:rPr>
        <w:t xml:space="preserve">    4、谈判小组成员开展独立评分。</w:t>
      </w:r>
    </w:p>
    <w:p>
      <w:pPr>
        <w:spacing w:line="500" w:lineRule="exact"/>
        <w:rPr>
          <w:rFonts w:ascii="仿宋" w:hAnsi="仿宋" w:eastAsia="仿宋"/>
          <w:sz w:val="30"/>
          <w:szCs w:val="30"/>
        </w:rPr>
      </w:pPr>
      <w:r>
        <w:rPr>
          <w:rFonts w:hint="eastAsia" w:ascii="仿宋" w:hAnsi="仿宋" w:eastAsia="仿宋"/>
          <w:sz w:val="30"/>
          <w:szCs w:val="30"/>
        </w:rPr>
        <w:t xml:space="preserve">    5、统计员在监督员监督下统分。</w:t>
      </w:r>
    </w:p>
    <w:p>
      <w:pPr>
        <w:spacing w:line="500" w:lineRule="exact"/>
        <w:rPr>
          <w:rFonts w:ascii="仿宋" w:hAnsi="仿宋" w:eastAsia="仿宋"/>
          <w:sz w:val="30"/>
          <w:szCs w:val="30"/>
        </w:rPr>
      </w:pPr>
      <w:r>
        <w:rPr>
          <w:rFonts w:hint="eastAsia" w:ascii="仿宋" w:hAnsi="仿宋" w:eastAsia="仿宋"/>
          <w:sz w:val="30"/>
          <w:szCs w:val="30"/>
        </w:rPr>
        <w:t xml:space="preserve">    6、监督员向主持人报告评分结果，公布中标候选人排序。</w:t>
      </w:r>
    </w:p>
    <w:p>
      <w:pPr>
        <w:spacing w:line="500" w:lineRule="exact"/>
        <w:rPr>
          <w:rFonts w:ascii="仿宋" w:hAnsi="仿宋" w:eastAsia="仿宋"/>
          <w:sz w:val="30"/>
          <w:szCs w:val="30"/>
        </w:rPr>
      </w:pPr>
      <w:r>
        <w:rPr>
          <w:rFonts w:hint="eastAsia" w:ascii="仿宋" w:hAnsi="仿宋" w:eastAsia="仿宋"/>
          <w:sz w:val="30"/>
          <w:szCs w:val="30"/>
        </w:rPr>
        <w:t xml:space="preserve">    7、主持人总结。 </w:t>
      </w:r>
    </w:p>
    <w:p>
      <w:pPr>
        <w:spacing w:line="500" w:lineRule="exact"/>
        <w:rPr>
          <w:rFonts w:ascii="仿宋" w:hAnsi="仿宋" w:eastAsia="仿宋"/>
          <w:sz w:val="30"/>
          <w:szCs w:val="30"/>
        </w:rPr>
      </w:pPr>
    </w:p>
    <w:p>
      <w:pPr>
        <w:jc w:val="center"/>
        <w:rPr>
          <w:rFonts w:ascii="黑体" w:hAnsi="黑体" w:eastAsia="黑体"/>
          <w:sz w:val="32"/>
          <w:szCs w:val="32"/>
        </w:rPr>
      </w:pPr>
      <w:r>
        <w:rPr>
          <w:rFonts w:hint="eastAsia" w:ascii="黑体" w:hAnsi="黑体" w:eastAsia="黑体"/>
          <w:sz w:val="32"/>
          <w:szCs w:val="32"/>
        </w:rPr>
        <w:t>2020中国·重庆潼南国际柠檬节开幕式（峰会）</w:t>
      </w:r>
    </w:p>
    <w:p>
      <w:pPr>
        <w:jc w:val="center"/>
        <w:rPr>
          <w:rFonts w:ascii="黑体" w:hAnsi="黑体" w:eastAsia="黑体"/>
          <w:sz w:val="32"/>
          <w:szCs w:val="32"/>
        </w:rPr>
      </w:pPr>
      <w:r>
        <w:rPr>
          <w:rFonts w:hint="eastAsia" w:ascii="黑体" w:hAnsi="黑体" w:eastAsia="黑体"/>
          <w:sz w:val="32"/>
          <w:szCs w:val="32"/>
        </w:rPr>
        <w:t>服务采购项目竞争性谈判签到表</w:t>
      </w:r>
    </w:p>
    <w:p>
      <w:pPr>
        <w:widowControl/>
        <w:shd w:val="clear" w:color="auto" w:fill="FFFFFF"/>
        <w:spacing w:line="620" w:lineRule="atLeast"/>
        <w:jc w:val="left"/>
        <w:rPr>
          <w:rFonts w:ascii="黑体" w:hAnsi="黑体" w:eastAsia="黑体" w:cs="宋体"/>
          <w:color w:val="000000"/>
          <w:kern w:val="0"/>
          <w:sz w:val="36"/>
          <w:szCs w:val="36"/>
        </w:rPr>
      </w:pPr>
    </w:p>
    <w:tbl>
      <w:tblPr>
        <w:tblStyle w:val="9"/>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1559"/>
        <w:gridCol w:w="141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620" w:lineRule="atLeast"/>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2977" w:type="dxa"/>
            <w:vAlign w:val="top"/>
          </w:tcPr>
          <w:p>
            <w:pPr>
              <w:widowControl/>
              <w:spacing w:line="620" w:lineRule="atLeast"/>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投标人名称</w:t>
            </w:r>
          </w:p>
        </w:tc>
        <w:tc>
          <w:tcPr>
            <w:tcW w:w="1559" w:type="dxa"/>
            <w:vAlign w:val="top"/>
          </w:tcPr>
          <w:p>
            <w:pPr>
              <w:widowControl/>
              <w:spacing w:line="620" w:lineRule="atLeast"/>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法定代表人</w:t>
            </w:r>
          </w:p>
        </w:tc>
        <w:tc>
          <w:tcPr>
            <w:tcW w:w="1418" w:type="dxa"/>
            <w:vAlign w:val="top"/>
          </w:tcPr>
          <w:p>
            <w:pPr>
              <w:widowControl/>
              <w:spacing w:line="620" w:lineRule="atLeast"/>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投标委托人</w:t>
            </w:r>
          </w:p>
        </w:tc>
        <w:tc>
          <w:tcPr>
            <w:tcW w:w="1842" w:type="dxa"/>
            <w:vAlign w:val="top"/>
          </w:tcPr>
          <w:p>
            <w:pPr>
              <w:widowControl/>
              <w:spacing w:line="620" w:lineRule="atLeast"/>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620" w:lineRule="atLeast"/>
              <w:jc w:val="left"/>
              <w:rPr>
                <w:rFonts w:ascii="黑体" w:hAnsi="黑体" w:eastAsia="黑体" w:cs="宋体"/>
                <w:color w:val="000000"/>
                <w:kern w:val="0"/>
                <w:sz w:val="24"/>
                <w:szCs w:val="24"/>
              </w:rPr>
            </w:pPr>
          </w:p>
        </w:tc>
        <w:tc>
          <w:tcPr>
            <w:tcW w:w="2977" w:type="dxa"/>
            <w:vAlign w:val="top"/>
          </w:tcPr>
          <w:p>
            <w:pPr>
              <w:widowControl/>
              <w:spacing w:line="620" w:lineRule="atLeast"/>
              <w:jc w:val="left"/>
              <w:rPr>
                <w:rFonts w:ascii="黑体" w:hAnsi="黑体" w:eastAsia="黑体" w:cs="宋体"/>
                <w:color w:val="000000"/>
                <w:kern w:val="0"/>
                <w:sz w:val="24"/>
                <w:szCs w:val="24"/>
              </w:rPr>
            </w:pPr>
          </w:p>
        </w:tc>
        <w:tc>
          <w:tcPr>
            <w:tcW w:w="1559" w:type="dxa"/>
            <w:vAlign w:val="top"/>
          </w:tcPr>
          <w:p>
            <w:pPr>
              <w:widowControl/>
              <w:spacing w:line="620" w:lineRule="atLeast"/>
              <w:jc w:val="left"/>
              <w:rPr>
                <w:rFonts w:ascii="黑体" w:hAnsi="黑体" w:eastAsia="黑体" w:cs="宋体"/>
                <w:color w:val="000000"/>
                <w:kern w:val="0"/>
                <w:sz w:val="24"/>
                <w:szCs w:val="24"/>
              </w:rPr>
            </w:pPr>
          </w:p>
        </w:tc>
        <w:tc>
          <w:tcPr>
            <w:tcW w:w="1418" w:type="dxa"/>
            <w:vAlign w:val="top"/>
          </w:tcPr>
          <w:p>
            <w:pPr>
              <w:widowControl/>
              <w:spacing w:line="620" w:lineRule="atLeast"/>
              <w:jc w:val="left"/>
              <w:rPr>
                <w:rFonts w:ascii="黑体" w:hAnsi="黑体" w:eastAsia="黑体" w:cs="宋体"/>
                <w:color w:val="000000"/>
                <w:kern w:val="0"/>
                <w:sz w:val="24"/>
                <w:szCs w:val="24"/>
              </w:rPr>
            </w:pPr>
          </w:p>
        </w:tc>
        <w:tc>
          <w:tcPr>
            <w:tcW w:w="1842" w:type="dxa"/>
            <w:vAlign w:val="top"/>
          </w:tcPr>
          <w:p>
            <w:pPr>
              <w:widowControl/>
              <w:spacing w:line="620" w:lineRule="atLeast"/>
              <w:jc w:val="left"/>
              <w:rPr>
                <w:rFonts w:ascii="黑体" w:hAnsi="黑体" w:eastAsia="黑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620" w:lineRule="atLeast"/>
              <w:jc w:val="left"/>
              <w:rPr>
                <w:rFonts w:ascii="黑体" w:hAnsi="黑体" w:eastAsia="黑体" w:cs="宋体"/>
                <w:color w:val="000000"/>
                <w:kern w:val="0"/>
                <w:sz w:val="24"/>
                <w:szCs w:val="24"/>
              </w:rPr>
            </w:pPr>
          </w:p>
        </w:tc>
        <w:tc>
          <w:tcPr>
            <w:tcW w:w="2977" w:type="dxa"/>
            <w:vAlign w:val="top"/>
          </w:tcPr>
          <w:p>
            <w:pPr>
              <w:widowControl/>
              <w:spacing w:line="620" w:lineRule="atLeast"/>
              <w:jc w:val="left"/>
              <w:rPr>
                <w:rFonts w:ascii="黑体" w:hAnsi="黑体" w:eastAsia="黑体" w:cs="宋体"/>
                <w:color w:val="000000"/>
                <w:kern w:val="0"/>
                <w:sz w:val="24"/>
                <w:szCs w:val="24"/>
              </w:rPr>
            </w:pPr>
          </w:p>
        </w:tc>
        <w:tc>
          <w:tcPr>
            <w:tcW w:w="1559" w:type="dxa"/>
            <w:vAlign w:val="top"/>
          </w:tcPr>
          <w:p>
            <w:pPr>
              <w:widowControl/>
              <w:spacing w:line="620" w:lineRule="atLeast"/>
              <w:jc w:val="left"/>
              <w:rPr>
                <w:rFonts w:ascii="黑体" w:hAnsi="黑体" w:eastAsia="黑体" w:cs="宋体"/>
                <w:color w:val="000000"/>
                <w:kern w:val="0"/>
                <w:sz w:val="24"/>
                <w:szCs w:val="24"/>
              </w:rPr>
            </w:pPr>
          </w:p>
        </w:tc>
        <w:tc>
          <w:tcPr>
            <w:tcW w:w="1418" w:type="dxa"/>
            <w:vAlign w:val="top"/>
          </w:tcPr>
          <w:p>
            <w:pPr>
              <w:widowControl/>
              <w:spacing w:line="620" w:lineRule="atLeast"/>
              <w:jc w:val="left"/>
              <w:rPr>
                <w:rFonts w:ascii="黑体" w:hAnsi="黑体" w:eastAsia="黑体" w:cs="宋体"/>
                <w:color w:val="000000"/>
                <w:kern w:val="0"/>
                <w:sz w:val="24"/>
                <w:szCs w:val="24"/>
              </w:rPr>
            </w:pPr>
          </w:p>
        </w:tc>
        <w:tc>
          <w:tcPr>
            <w:tcW w:w="1842" w:type="dxa"/>
            <w:vAlign w:val="top"/>
          </w:tcPr>
          <w:p>
            <w:pPr>
              <w:widowControl/>
              <w:spacing w:line="620" w:lineRule="atLeast"/>
              <w:jc w:val="left"/>
              <w:rPr>
                <w:rFonts w:ascii="黑体" w:hAnsi="黑体" w:eastAsia="黑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620" w:lineRule="atLeast"/>
              <w:jc w:val="left"/>
              <w:rPr>
                <w:rFonts w:ascii="黑体" w:hAnsi="黑体" w:eastAsia="黑体" w:cs="宋体"/>
                <w:color w:val="000000"/>
                <w:kern w:val="0"/>
                <w:sz w:val="24"/>
                <w:szCs w:val="24"/>
              </w:rPr>
            </w:pPr>
          </w:p>
        </w:tc>
        <w:tc>
          <w:tcPr>
            <w:tcW w:w="2977" w:type="dxa"/>
            <w:vAlign w:val="top"/>
          </w:tcPr>
          <w:p>
            <w:pPr>
              <w:widowControl/>
              <w:spacing w:line="620" w:lineRule="atLeast"/>
              <w:jc w:val="left"/>
              <w:rPr>
                <w:rFonts w:ascii="黑体" w:hAnsi="黑体" w:eastAsia="黑体" w:cs="宋体"/>
                <w:color w:val="000000"/>
                <w:kern w:val="0"/>
                <w:sz w:val="24"/>
                <w:szCs w:val="24"/>
              </w:rPr>
            </w:pPr>
          </w:p>
        </w:tc>
        <w:tc>
          <w:tcPr>
            <w:tcW w:w="1559" w:type="dxa"/>
            <w:vAlign w:val="top"/>
          </w:tcPr>
          <w:p>
            <w:pPr>
              <w:widowControl/>
              <w:spacing w:line="620" w:lineRule="atLeast"/>
              <w:jc w:val="left"/>
              <w:rPr>
                <w:rFonts w:ascii="黑体" w:hAnsi="黑体" w:eastAsia="黑体" w:cs="宋体"/>
                <w:color w:val="000000"/>
                <w:kern w:val="0"/>
                <w:sz w:val="24"/>
                <w:szCs w:val="24"/>
              </w:rPr>
            </w:pPr>
          </w:p>
        </w:tc>
        <w:tc>
          <w:tcPr>
            <w:tcW w:w="1418" w:type="dxa"/>
            <w:vAlign w:val="top"/>
          </w:tcPr>
          <w:p>
            <w:pPr>
              <w:widowControl/>
              <w:spacing w:line="620" w:lineRule="atLeast"/>
              <w:jc w:val="left"/>
              <w:rPr>
                <w:rFonts w:ascii="黑体" w:hAnsi="黑体" w:eastAsia="黑体" w:cs="宋体"/>
                <w:color w:val="000000"/>
                <w:kern w:val="0"/>
                <w:sz w:val="24"/>
                <w:szCs w:val="24"/>
              </w:rPr>
            </w:pPr>
          </w:p>
        </w:tc>
        <w:tc>
          <w:tcPr>
            <w:tcW w:w="1842" w:type="dxa"/>
            <w:vAlign w:val="top"/>
          </w:tcPr>
          <w:p>
            <w:pPr>
              <w:widowControl/>
              <w:spacing w:line="620" w:lineRule="atLeast"/>
              <w:jc w:val="left"/>
              <w:rPr>
                <w:rFonts w:ascii="黑体" w:hAnsi="黑体" w:eastAsia="黑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620" w:lineRule="atLeast"/>
              <w:jc w:val="left"/>
              <w:rPr>
                <w:rFonts w:ascii="黑体" w:hAnsi="黑体" w:eastAsia="黑体" w:cs="宋体"/>
                <w:color w:val="000000"/>
                <w:kern w:val="0"/>
                <w:sz w:val="24"/>
                <w:szCs w:val="24"/>
              </w:rPr>
            </w:pPr>
          </w:p>
        </w:tc>
        <w:tc>
          <w:tcPr>
            <w:tcW w:w="2977" w:type="dxa"/>
            <w:vAlign w:val="top"/>
          </w:tcPr>
          <w:p>
            <w:pPr>
              <w:widowControl/>
              <w:spacing w:line="620" w:lineRule="atLeast"/>
              <w:jc w:val="left"/>
              <w:rPr>
                <w:rFonts w:ascii="黑体" w:hAnsi="黑体" w:eastAsia="黑体" w:cs="宋体"/>
                <w:color w:val="000000"/>
                <w:kern w:val="0"/>
                <w:sz w:val="24"/>
                <w:szCs w:val="24"/>
              </w:rPr>
            </w:pPr>
          </w:p>
        </w:tc>
        <w:tc>
          <w:tcPr>
            <w:tcW w:w="1559" w:type="dxa"/>
            <w:vAlign w:val="top"/>
          </w:tcPr>
          <w:p>
            <w:pPr>
              <w:widowControl/>
              <w:spacing w:line="620" w:lineRule="atLeast"/>
              <w:jc w:val="left"/>
              <w:rPr>
                <w:rFonts w:ascii="黑体" w:hAnsi="黑体" w:eastAsia="黑体" w:cs="宋体"/>
                <w:color w:val="000000"/>
                <w:kern w:val="0"/>
                <w:sz w:val="24"/>
                <w:szCs w:val="24"/>
              </w:rPr>
            </w:pPr>
          </w:p>
        </w:tc>
        <w:tc>
          <w:tcPr>
            <w:tcW w:w="1418" w:type="dxa"/>
            <w:vAlign w:val="top"/>
          </w:tcPr>
          <w:p>
            <w:pPr>
              <w:widowControl/>
              <w:spacing w:line="620" w:lineRule="atLeast"/>
              <w:jc w:val="left"/>
              <w:rPr>
                <w:rFonts w:ascii="黑体" w:hAnsi="黑体" w:eastAsia="黑体" w:cs="宋体"/>
                <w:color w:val="000000"/>
                <w:kern w:val="0"/>
                <w:sz w:val="24"/>
                <w:szCs w:val="24"/>
              </w:rPr>
            </w:pPr>
          </w:p>
        </w:tc>
        <w:tc>
          <w:tcPr>
            <w:tcW w:w="1842" w:type="dxa"/>
            <w:vAlign w:val="top"/>
          </w:tcPr>
          <w:p>
            <w:pPr>
              <w:widowControl/>
              <w:spacing w:line="620" w:lineRule="atLeast"/>
              <w:jc w:val="left"/>
              <w:rPr>
                <w:rFonts w:ascii="黑体" w:hAnsi="黑体" w:eastAsia="黑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620" w:lineRule="atLeast"/>
              <w:jc w:val="left"/>
              <w:rPr>
                <w:rFonts w:ascii="黑体" w:hAnsi="黑体" w:eastAsia="黑体" w:cs="宋体"/>
                <w:color w:val="000000"/>
                <w:kern w:val="0"/>
                <w:sz w:val="24"/>
                <w:szCs w:val="24"/>
              </w:rPr>
            </w:pPr>
          </w:p>
        </w:tc>
        <w:tc>
          <w:tcPr>
            <w:tcW w:w="2977" w:type="dxa"/>
            <w:vAlign w:val="top"/>
          </w:tcPr>
          <w:p>
            <w:pPr>
              <w:widowControl/>
              <w:spacing w:line="620" w:lineRule="atLeast"/>
              <w:jc w:val="left"/>
              <w:rPr>
                <w:rFonts w:ascii="黑体" w:hAnsi="黑体" w:eastAsia="黑体" w:cs="宋体"/>
                <w:color w:val="000000"/>
                <w:kern w:val="0"/>
                <w:sz w:val="24"/>
                <w:szCs w:val="24"/>
              </w:rPr>
            </w:pPr>
          </w:p>
        </w:tc>
        <w:tc>
          <w:tcPr>
            <w:tcW w:w="1559" w:type="dxa"/>
            <w:vAlign w:val="top"/>
          </w:tcPr>
          <w:p>
            <w:pPr>
              <w:widowControl/>
              <w:spacing w:line="620" w:lineRule="atLeast"/>
              <w:jc w:val="left"/>
              <w:rPr>
                <w:rFonts w:ascii="黑体" w:hAnsi="黑体" w:eastAsia="黑体" w:cs="宋体"/>
                <w:color w:val="000000"/>
                <w:kern w:val="0"/>
                <w:sz w:val="24"/>
                <w:szCs w:val="24"/>
              </w:rPr>
            </w:pPr>
          </w:p>
        </w:tc>
        <w:tc>
          <w:tcPr>
            <w:tcW w:w="1418" w:type="dxa"/>
            <w:vAlign w:val="top"/>
          </w:tcPr>
          <w:p>
            <w:pPr>
              <w:widowControl/>
              <w:spacing w:line="620" w:lineRule="atLeast"/>
              <w:jc w:val="left"/>
              <w:rPr>
                <w:rFonts w:ascii="黑体" w:hAnsi="黑体" w:eastAsia="黑体" w:cs="宋体"/>
                <w:color w:val="000000"/>
                <w:kern w:val="0"/>
                <w:sz w:val="24"/>
                <w:szCs w:val="24"/>
              </w:rPr>
            </w:pPr>
          </w:p>
        </w:tc>
        <w:tc>
          <w:tcPr>
            <w:tcW w:w="1842" w:type="dxa"/>
            <w:vAlign w:val="top"/>
          </w:tcPr>
          <w:p>
            <w:pPr>
              <w:widowControl/>
              <w:spacing w:line="620" w:lineRule="atLeast"/>
              <w:jc w:val="left"/>
              <w:rPr>
                <w:rFonts w:ascii="黑体" w:hAnsi="黑体" w:eastAsia="黑体" w:cs="宋体"/>
                <w:color w:val="000000"/>
                <w:kern w:val="0"/>
                <w:sz w:val="24"/>
                <w:szCs w:val="24"/>
              </w:rPr>
            </w:pPr>
          </w:p>
        </w:tc>
      </w:tr>
    </w:tbl>
    <w:p>
      <w:pPr>
        <w:spacing w:line="500" w:lineRule="exact"/>
        <w:rPr>
          <w:rFonts w:ascii="仿宋" w:hAnsi="仿宋" w:eastAsia="仿宋"/>
          <w:sz w:val="30"/>
          <w:szCs w:val="30"/>
        </w:rPr>
      </w:pPr>
    </w:p>
    <w:p>
      <w:pPr>
        <w:spacing w:line="500" w:lineRule="exact"/>
        <w:rPr>
          <w:rFonts w:ascii="仿宋" w:hAnsi="仿宋" w:eastAsia="仿宋"/>
          <w:sz w:val="30"/>
          <w:szCs w:val="30"/>
        </w:rPr>
      </w:pPr>
      <w:r>
        <w:rPr>
          <w:rFonts w:hint="eastAsia" w:ascii="仿宋" w:hAnsi="仿宋" w:eastAsia="仿宋"/>
          <w:sz w:val="30"/>
          <w:szCs w:val="30"/>
        </w:rPr>
        <w:t>注：1、投标人签到截止时间为：2020年10月16日上午10：00。</w:t>
      </w:r>
    </w:p>
    <w:p>
      <w:pPr>
        <w:spacing w:line="500" w:lineRule="exact"/>
        <w:rPr>
          <w:rFonts w:ascii="仿宋" w:hAnsi="仿宋" w:eastAsia="仿宋"/>
          <w:sz w:val="30"/>
          <w:szCs w:val="30"/>
        </w:rPr>
      </w:pPr>
      <w:r>
        <w:rPr>
          <w:rFonts w:hint="eastAsia" w:ascii="仿宋" w:hAnsi="仿宋" w:eastAsia="仿宋"/>
          <w:sz w:val="30"/>
          <w:szCs w:val="30"/>
        </w:rPr>
        <w:t xml:space="preserve">    2、投标人签到时应同时提交投标响应文件。</w:t>
      </w:r>
    </w:p>
    <w:p>
      <w:pPr>
        <w:spacing w:line="500" w:lineRule="exact"/>
        <w:rPr>
          <w:rFonts w:ascii="仿宋" w:hAnsi="仿宋" w:eastAsia="仿宋"/>
          <w:sz w:val="30"/>
          <w:szCs w:val="30"/>
        </w:rPr>
      </w:pPr>
    </w:p>
    <w:p>
      <w:pPr>
        <w:spacing w:line="500" w:lineRule="exact"/>
        <w:rPr>
          <w:rFonts w:ascii="黑体" w:hAnsi="黑体" w:eastAsia="黑体" w:cs="宋体"/>
          <w:color w:val="000000"/>
          <w:kern w:val="0"/>
          <w:sz w:val="36"/>
          <w:szCs w:val="36"/>
        </w:rPr>
      </w:pPr>
      <w:r>
        <w:rPr>
          <w:rFonts w:hint="eastAsia" w:ascii="黑体" w:hAnsi="黑体" w:eastAsia="黑体" w:cs="宋体"/>
          <w:color w:val="000000"/>
          <w:kern w:val="0"/>
          <w:sz w:val="36"/>
          <w:szCs w:val="36"/>
        </w:rPr>
        <w:t xml:space="preserve">                          </w:t>
      </w:r>
      <w:r>
        <w:rPr>
          <w:rFonts w:hint="eastAsia" w:ascii="仿宋" w:hAnsi="仿宋" w:eastAsia="仿宋"/>
          <w:sz w:val="30"/>
          <w:szCs w:val="30"/>
        </w:rPr>
        <w:t>签到人（签字）：</w:t>
      </w:r>
    </w:p>
    <w:p>
      <w:pPr>
        <w:spacing w:line="500" w:lineRule="exact"/>
        <w:rPr>
          <w:rFonts w:ascii="仿宋" w:hAnsi="仿宋" w:eastAsia="仿宋"/>
          <w:sz w:val="30"/>
          <w:szCs w:val="30"/>
        </w:rPr>
      </w:pPr>
      <w:r>
        <w:rPr>
          <w:rFonts w:hint="eastAsia" w:ascii="黑体" w:hAnsi="黑体" w:eastAsia="黑体" w:cs="宋体"/>
          <w:color w:val="000000"/>
          <w:kern w:val="0"/>
          <w:sz w:val="36"/>
          <w:szCs w:val="36"/>
        </w:rPr>
        <w:t xml:space="preserve">                          </w:t>
      </w:r>
      <w:r>
        <w:rPr>
          <w:rFonts w:hint="eastAsia" w:ascii="仿宋" w:hAnsi="仿宋" w:eastAsia="仿宋"/>
          <w:sz w:val="30"/>
          <w:szCs w:val="30"/>
        </w:rPr>
        <w:t>2020年10月16日</w:t>
      </w:r>
    </w:p>
    <w:p>
      <w:pPr>
        <w:widowControl/>
        <w:shd w:val="clear" w:color="auto" w:fill="FFFFFF"/>
        <w:spacing w:line="620" w:lineRule="atLeast"/>
        <w:jc w:val="left"/>
        <w:rPr>
          <w:rFonts w:ascii="黑体" w:hAnsi="黑体" w:eastAsia="黑体" w:cs="宋体"/>
          <w:color w:val="000000"/>
          <w:kern w:val="0"/>
          <w:sz w:val="36"/>
          <w:szCs w:val="36"/>
        </w:rPr>
      </w:pPr>
    </w:p>
    <w:p>
      <w:pPr>
        <w:jc w:val="center"/>
        <w:rPr>
          <w:b/>
          <w:bCs/>
          <w:sz w:val="32"/>
          <w:szCs w:val="32"/>
        </w:rPr>
      </w:pPr>
      <w:r>
        <w:rPr>
          <w:rFonts w:hint="eastAsia"/>
          <w:b/>
          <w:bCs/>
          <w:sz w:val="32"/>
          <w:szCs w:val="32"/>
        </w:rPr>
        <w:t>2020中国·重庆潼南国际柠檬节开幕式（峰会）</w:t>
      </w:r>
    </w:p>
    <w:p>
      <w:pPr>
        <w:jc w:val="center"/>
        <w:rPr>
          <w:b/>
          <w:bCs/>
          <w:sz w:val="32"/>
          <w:szCs w:val="32"/>
        </w:rPr>
      </w:pPr>
      <w:r>
        <w:rPr>
          <w:rFonts w:hint="eastAsia"/>
          <w:b/>
          <w:bCs/>
          <w:sz w:val="32"/>
          <w:szCs w:val="32"/>
        </w:rPr>
        <w:t>服务采购项目谈判小组人员及参会人员名单</w:t>
      </w:r>
    </w:p>
    <w:p>
      <w:pPr>
        <w:numPr>
          <w:ilvl w:val="0"/>
          <w:numId w:val="4"/>
        </w:numPr>
        <w:rPr>
          <w:rFonts w:ascii="宋体" w:hAnsi="宋体"/>
          <w:b/>
          <w:sz w:val="28"/>
          <w:szCs w:val="28"/>
        </w:rPr>
      </w:pPr>
      <w:r>
        <w:rPr>
          <w:rFonts w:hint="eastAsia" w:ascii="宋体" w:hAnsi="宋体"/>
          <w:b/>
          <w:sz w:val="28"/>
          <w:szCs w:val="28"/>
        </w:rPr>
        <w:t>谈判小组名单</w:t>
      </w:r>
    </w:p>
    <w:tbl>
      <w:tblPr>
        <w:tblStyle w:val="8"/>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160"/>
        <w:gridCol w:w="1800"/>
        <w:gridCol w:w="1614"/>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48" w:type="dxa"/>
            <w:vAlign w:val="center"/>
          </w:tcPr>
          <w:p>
            <w:pPr>
              <w:jc w:val="center"/>
              <w:rPr>
                <w:rFonts w:ascii="宋体" w:hAnsi="宋体"/>
                <w:b/>
                <w:sz w:val="28"/>
                <w:szCs w:val="28"/>
              </w:rPr>
            </w:pPr>
            <w:r>
              <w:rPr>
                <w:rFonts w:hint="eastAsia" w:ascii="宋体" w:hAnsi="宋体"/>
                <w:b/>
                <w:sz w:val="28"/>
                <w:szCs w:val="28"/>
              </w:rPr>
              <w:t>人员成分</w:t>
            </w:r>
          </w:p>
        </w:tc>
        <w:tc>
          <w:tcPr>
            <w:tcW w:w="2160" w:type="dxa"/>
            <w:vAlign w:val="top"/>
          </w:tcPr>
          <w:p>
            <w:pPr>
              <w:jc w:val="center"/>
              <w:rPr>
                <w:rFonts w:ascii="宋体" w:hAnsi="宋体"/>
                <w:b/>
                <w:sz w:val="28"/>
                <w:szCs w:val="28"/>
              </w:rPr>
            </w:pPr>
            <w:r>
              <w:rPr>
                <w:rFonts w:hint="eastAsia" w:ascii="宋体" w:hAnsi="宋体"/>
                <w:b/>
                <w:sz w:val="28"/>
                <w:szCs w:val="28"/>
              </w:rPr>
              <w:t>工作单位</w:t>
            </w:r>
          </w:p>
        </w:tc>
        <w:tc>
          <w:tcPr>
            <w:tcW w:w="1800" w:type="dxa"/>
            <w:vAlign w:val="top"/>
          </w:tcPr>
          <w:p>
            <w:pPr>
              <w:jc w:val="center"/>
              <w:rPr>
                <w:rFonts w:ascii="宋体" w:hAnsi="宋体"/>
                <w:b/>
                <w:sz w:val="28"/>
                <w:szCs w:val="28"/>
              </w:rPr>
            </w:pPr>
            <w:r>
              <w:rPr>
                <w:rFonts w:hint="eastAsia" w:ascii="宋体" w:hAnsi="宋体"/>
                <w:b/>
                <w:sz w:val="28"/>
                <w:szCs w:val="28"/>
              </w:rPr>
              <w:t>姓名</w:t>
            </w:r>
          </w:p>
        </w:tc>
        <w:tc>
          <w:tcPr>
            <w:tcW w:w="1614" w:type="dxa"/>
            <w:vAlign w:val="top"/>
          </w:tcPr>
          <w:p>
            <w:pPr>
              <w:jc w:val="center"/>
              <w:rPr>
                <w:rFonts w:ascii="宋体" w:hAnsi="宋体"/>
                <w:b/>
                <w:sz w:val="28"/>
                <w:szCs w:val="28"/>
              </w:rPr>
            </w:pPr>
            <w:r>
              <w:rPr>
                <w:rFonts w:hint="eastAsia" w:ascii="宋体" w:hAnsi="宋体"/>
                <w:b/>
                <w:sz w:val="28"/>
                <w:szCs w:val="28"/>
              </w:rPr>
              <w:t>职务</w:t>
            </w:r>
          </w:p>
        </w:tc>
        <w:tc>
          <w:tcPr>
            <w:tcW w:w="1446" w:type="dxa"/>
            <w:vAlign w:val="top"/>
          </w:tcPr>
          <w:p>
            <w:pPr>
              <w:jc w:val="center"/>
              <w:rPr>
                <w:rFonts w:ascii="宋体" w:hAnsi="宋体"/>
                <w:b/>
                <w:sz w:val="28"/>
                <w:szCs w:val="28"/>
              </w:rPr>
            </w:pPr>
            <w:r>
              <w:rPr>
                <w:rFonts w:hint="eastAsia" w:ascii="宋体" w:hAnsi="宋体"/>
                <w:b/>
                <w:sz w:val="28"/>
                <w:szCs w:val="28"/>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548" w:type="dxa"/>
            <w:vAlign w:val="center"/>
          </w:tcPr>
          <w:p>
            <w:pPr>
              <w:jc w:val="center"/>
              <w:rPr>
                <w:rFonts w:ascii="宋体" w:hAnsi="宋体"/>
                <w:b/>
                <w:sz w:val="28"/>
                <w:szCs w:val="28"/>
              </w:rPr>
            </w:pPr>
            <w:r>
              <w:rPr>
                <w:rFonts w:hint="eastAsia" w:ascii="宋体" w:hAnsi="宋体"/>
                <w:b/>
                <w:sz w:val="28"/>
                <w:szCs w:val="28"/>
              </w:rPr>
              <w:t>组长</w:t>
            </w:r>
          </w:p>
        </w:tc>
        <w:tc>
          <w:tcPr>
            <w:tcW w:w="2160" w:type="dxa"/>
            <w:vAlign w:val="top"/>
          </w:tcPr>
          <w:p>
            <w:pPr>
              <w:rPr>
                <w:rFonts w:ascii="宋体" w:hAnsi="宋体"/>
                <w:b/>
                <w:sz w:val="28"/>
                <w:szCs w:val="28"/>
              </w:rPr>
            </w:pPr>
          </w:p>
        </w:tc>
        <w:tc>
          <w:tcPr>
            <w:tcW w:w="1800" w:type="dxa"/>
            <w:vAlign w:val="top"/>
          </w:tcPr>
          <w:p>
            <w:pPr>
              <w:rPr>
                <w:rFonts w:ascii="宋体" w:hAnsi="宋体"/>
                <w:b/>
                <w:sz w:val="28"/>
                <w:szCs w:val="28"/>
              </w:rPr>
            </w:pPr>
          </w:p>
        </w:tc>
        <w:tc>
          <w:tcPr>
            <w:tcW w:w="1614" w:type="dxa"/>
            <w:vAlign w:val="top"/>
          </w:tcPr>
          <w:p>
            <w:pPr>
              <w:rPr>
                <w:rFonts w:ascii="宋体" w:hAnsi="宋体"/>
                <w:b/>
                <w:sz w:val="28"/>
                <w:szCs w:val="28"/>
              </w:rPr>
            </w:pPr>
          </w:p>
        </w:tc>
        <w:tc>
          <w:tcPr>
            <w:tcW w:w="1446" w:type="dxa"/>
            <w:vAlign w:val="top"/>
          </w:tcPr>
          <w:p>
            <w:pP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jc w:val="center"/>
              <w:rPr>
                <w:rFonts w:ascii="宋体" w:hAnsi="宋体"/>
                <w:b/>
                <w:sz w:val="28"/>
                <w:szCs w:val="28"/>
              </w:rPr>
            </w:pPr>
            <w:r>
              <w:rPr>
                <w:rFonts w:hint="eastAsia" w:ascii="宋体" w:hAnsi="宋体"/>
                <w:b/>
                <w:sz w:val="28"/>
                <w:szCs w:val="28"/>
              </w:rPr>
              <w:t>组员</w:t>
            </w:r>
          </w:p>
        </w:tc>
        <w:tc>
          <w:tcPr>
            <w:tcW w:w="2160" w:type="dxa"/>
            <w:vAlign w:val="top"/>
          </w:tcPr>
          <w:p>
            <w:pPr>
              <w:rPr>
                <w:rFonts w:ascii="宋体" w:hAnsi="宋体"/>
                <w:b/>
                <w:sz w:val="28"/>
                <w:szCs w:val="28"/>
              </w:rPr>
            </w:pPr>
          </w:p>
        </w:tc>
        <w:tc>
          <w:tcPr>
            <w:tcW w:w="1800" w:type="dxa"/>
            <w:vAlign w:val="top"/>
          </w:tcPr>
          <w:p>
            <w:pPr>
              <w:rPr>
                <w:rFonts w:ascii="宋体" w:hAnsi="宋体"/>
                <w:b/>
                <w:sz w:val="28"/>
                <w:szCs w:val="28"/>
              </w:rPr>
            </w:pPr>
          </w:p>
        </w:tc>
        <w:tc>
          <w:tcPr>
            <w:tcW w:w="1614" w:type="dxa"/>
            <w:vAlign w:val="top"/>
          </w:tcPr>
          <w:p>
            <w:pPr>
              <w:rPr>
                <w:rFonts w:ascii="宋体" w:hAnsi="宋体"/>
                <w:b/>
                <w:sz w:val="28"/>
                <w:szCs w:val="28"/>
              </w:rPr>
            </w:pPr>
          </w:p>
        </w:tc>
        <w:tc>
          <w:tcPr>
            <w:tcW w:w="1446" w:type="dxa"/>
            <w:vAlign w:val="top"/>
          </w:tcPr>
          <w:p>
            <w:pP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jc w:val="center"/>
              <w:rPr>
                <w:rFonts w:ascii="宋体" w:hAnsi="宋体"/>
                <w:b/>
                <w:sz w:val="28"/>
                <w:szCs w:val="28"/>
              </w:rPr>
            </w:pPr>
            <w:r>
              <w:rPr>
                <w:rFonts w:hint="eastAsia" w:ascii="宋体" w:hAnsi="宋体"/>
                <w:b/>
                <w:sz w:val="28"/>
                <w:szCs w:val="28"/>
              </w:rPr>
              <w:t>组员</w:t>
            </w:r>
          </w:p>
        </w:tc>
        <w:tc>
          <w:tcPr>
            <w:tcW w:w="2160" w:type="dxa"/>
            <w:vAlign w:val="top"/>
          </w:tcPr>
          <w:p>
            <w:pPr>
              <w:rPr>
                <w:rFonts w:ascii="宋体" w:hAnsi="宋体"/>
                <w:b/>
                <w:sz w:val="28"/>
                <w:szCs w:val="28"/>
              </w:rPr>
            </w:pPr>
          </w:p>
        </w:tc>
        <w:tc>
          <w:tcPr>
            <w:tcW w:w="1800" w:type="dxa"/>
            <w:vAlign w:val="top"/>
          </w:tcPr>
          <w:p>
            <w:pPr>
              <w:rPr>
                <w:rFonts w:ascii="宋体" w:hAnsi="宋体"/>
                <w:b/>
                <w:sz w:val="28"/>
                <w:szCs w:val="28"/>
              </w:rPr>
            </w:pPr>
          </w:p>
        </w:tc>
        <w:tc>
          <w:tcPr>
            <w:tcW w:w="1614" w:type="dxa"/>
            <w:vAlign w:val="top"/>
          </w:tcPr>
          <w:p>
            <w:pPr>
              <w:rPr>
                <w:rFonts w:ascii="宋体" w:hAnsi="宋体"/>
                <w:b/>
                <w:sz w:val="28"/>
                <w:szCs w:val="28"/>
              </w:rPr>
            </w:pPr>
          </w:p>
        </w:tc>
        <w:tc>
          <w:tcPr>
            <w:tcW w:w="1446" w:type="dxa"/>
            <w:vAlign w:val="top"/>
          </w:tcPr>
          <w:p>
            <w:pP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jc w:val="center"/>
              <w:rPr>
                <w:rFonts w:ascii="宋体" w:hAnsi="宋体"/>
                <w:b/>
                <w:sz w:val="28"/>
                <w:szCs w:val="28"/>
              </w:rPr>
            </w:pPr>
            <w:r>
              <w:rPr>
                <w:rFonts w:hint="eastAsia" w:ascii="宋体" w:hAnsi="宋体"/>
                <w:b/>
                <w:sz w:val="28"/>
                <w:szCs w:val="28"/>
              </w:rPr>
              <w:t>组员</w:t>
            </w:r>
          </w:p>
        </w:tc>
        <w:tc>
          <w:tcPr>
            <w:tcW w:w="2160" w:type="dxa"/>
            <w:vAlign w:val="top"/>
          </w:tcPr>
          <w:p>
            <w:pPr>
              <w:rPr>
                <w:rFonts w:ascii="宋体" w:hAnsi="宋体"/>
                <w:b/>
                <w:sz w:val="28"/>
                <w:szCs w:val="28"/>
              </w:rPr>
            </w:pPr>
          </w:p>
        </w:tc>
        <w:tc>
          <w:tcPr>
            <w:tcW w:w="1800" w:type="dxa"/>
            <w:vAlign w:val="top"/>
          </w:tcPr>
          <w:p>
            <w:pPr>
              <w:rPr>
                <w:rFonts w:ascii="宋体" w:hAnsi="宋体"/>
                <w:b/>
                <w:sz w:val="28"/>
                <w:szCs w:val="28"/>
              </w:rPr>
            </w:pPr>
          </w:p>
        </w:tc>
        <w:tc>
          <w:tcPr>
            <w:tcW w:w="1614" w:type="dxa"/>
            <w:vAlign w:val="top"/>
          </w:tcPr>
          <w:p>
            <w:pPr>
              <w:rPr>
                <w:rFonts w:ascii="宋体" w:hAnsi="宋体"/>
                <w:b/>
                <w:sz w:val="28"/>
                <w:szCs w:val="28"/>
              </w:rPr>
            </w:pPr>
          </w:p>
        </w:tc>
        <w:tc>
          <w:tcPr>
            <w:tcW w:w="1446" w:type="dxa"/>
            <w:vAlign w:val="top"/>
          </w:tcPr>
          <w:p>
            <w:pP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jc w:val="center"/>
              <w:rPr>
                <w:rFonts w:ascii="宋体" w:hAnsi="宋体"/>
                <w:b/>
                <w:sz w:val="28"/>
                <w:szCs w:val="28"/>
              </w:rPr>
            </w:pPr>
            <w:r>
              <w:rPr>
                <w:rFonts w:hint="eastAsia" w:ascii="宋体" w:hAnsi="宋体"/>
                <w:b/>
                <w:sz w:val="28"/>
                <w:szCs w:val="28"/>
              </w:rPr>
              <w:t>组员</w:t>
            </w:r>
          </w:p>
        </w:tc>
        <w:tc>
          <w:tcPr>
            <w:tcW w:w="2160" w:type="dxa"/>
            <w:vAlign w:val="top"/>
          </w:tcPr>
          <w:p>
            <w:pPr>
              <w:rPr>
                <w:rFonts w:ascii="宋体" w:hAnsi="宋体"/>
                <w:b/>
                <w:sz w:val="28"/>
                <w:szCs w:val="28"/>
              </w:rPr>
            </w:pPr>
          </w:p>
        </w:tc>
        <w:tc>
          <w:tcPr>
            <w:tcW w:w="1800" w:type="dxa"/>
            <w:vAlign w:val="top"/>
          </w:tcPr>
          <w:p>
            <w:pPr>
              <w:rPr>
                <w:rFonts w:ascii="宋体" w:hAnsi="宋体"/>
                <w:b/>
                <w:sz w:val="28"/>
                <w:szCs w:val="28"/>
              </w:rPr>
            </w:pPr>
          </w:p>
        </w:tc>
        <w:tc>
          <w:tcPr>
            <w:tcW w:w="1614" w:type="dxa"/>
            <w:vAlign w:val="top"/>
          </w:tcPr>
          <w:p>
            <w:pPr>
              <w:rPr>
                <w:rFonts w:ascii="宋体" w:hAnsi="宋体"/>
                <w:b/>
                <w:sz w:val="28"/>
                <w:szCs w:val="28"/>
              </w:rPr>
            </w:pPr>
          </w:p>
        </w:tc>
        <w:tc>
          <w:tcPr>
            <w:tcW w:w="1446" w:type="dxa"/>
            <w:vAlign w:val="top"/>
          </w:tcPr>
          <w:p>
            <w:pPr>
              <w:rPr>
                <w:rFonts w:ascii="宋体" w:hAnsi="宋体"/>
                <w:b/>
                <w:sz w:val="28"/>
                <w:szCs w:val="28"/>
              </w:rPr>
            </w:pPr>
          </w:p>
        </w:tc>
      </w:tr>
    </w:tbl>
    <w:p>
      <w:pPr>
        <w:rPr>
          <w:rFonts w:ascii="宋体" w:hAnsi="宋体"/>
          <w:b/>
          <w:sz w:val="28"/>
          <w:szCs w:val="28"/>
        </w:rPr>
      </w:pPr>
      <w:r>
        <w:rPr>
          <w:rFonts w:hint="eastAsia" w:ascii="宋体" w:hAnsi="宋体"/>
          <w:b/>
          <w:sz w:val="28"/>
          <w:szCs w:val="28"/>
        </w:rPr>
        <w:t>二、参会人员名单</w:t>
      </w:r>
    </w:p>
    <w:tbl>
      <w:tblPr>
        <w:tblStyle w:val="8"/>
        <w:tblW w:w="8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60"/>
        <w:gridCol w:w="2520"/>
        <w:gridCol w:w="139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center"/>
          </w:tcPr>
          <w:p>
            <w:pPr>
              <w:jc w:val="center"/>
              <w:rPr>
                <w:rFonts w:ascii="宋体" w:hAnsi="宋体"/>
                <w:b/>
                <w:sz w:val="28"/>
                <w:szCs w:val="28"/>
              </w:rPr>
            </w:pPr>
            <w:r>
              <w:rPr>
                <w:rFonts w:hint="eastAsia" w:ascii="宋体" w:hAnsi="宋体"/>
                <w:b/>
                <w:sz w:val="28"/>
                <w:szCs w:val="28"/>
              </w:rPr>
              <w:t>工作单位</w:t>
            </w:r>
          </w:p>
        </w:tc>
        <w:tc>
          <w:tcPr>
            <w:tcW w:w="2160" w:type="dxa"/>
            <w:vAlign w:val="top"/>
          </w:tcPr>
          <w:p>
            <w:pPr>
              <w:jc w:val="center"/>
              <w:rPr>
                <w:rFonts w:ascii="宋体" w:hAnsi="宋体"/>
                <w:b/>
                <w:sz w:val="28"/>
                <w:szCs w:val="28"/>
              </w:rPr>
            </w:pPr>
            <w:r>
              <w:rPr>
                <w:rFonts w:hint="eastAsia" w:ascii="宋体" w:hAnsi="宋体"/>
                <w:b/>
                <w:sz w:val="28"/>
                <w:szCs w:val="28"/>
              </w:rPr>
              <w:t>姓名</w:t>
            </w:r>
          </w:p>
        </w:tc>
        <w:tc>
          <w:tcPr>
            <w:tcW w:w="2520" w:type="dxa"/>
            <w:vAlign w:val="top"/>
          </w:tcPr>
          <w:p>
            <w:pPr>
              <w:jc w:val="center"/>
              <w:rPr>
                <w:rFonts w:ascii="宋体" w:hAnsi="宋体"/>
                <w:b/>
                <w:sz w:val="28"/>
                <w:szCs w:val="28"/>
              </w:rPr>
            </w:pPr>
            <w:r>
              <w:rPr>
                <w:rFonts w:hint="eastAsia" w:ascii="宋体" w:hAnsi="宋体"/>
                <w:b/>
                <w:sz w:val="28"/>
                <w:szCs w:val="28"/>
              </w:rPr>
              <w:t>职务</w:t>
            </w:r>
          </w:p>
        </w:tc>
        <w:tc>
          <w:tcPr>
            <w:tcW w:w="1400" w:type="dxa"/>
            <w:gridSpan w:val="2"/>
            <w:vAlign w:val="top"/>
          </w:tcPr>
          <w:p>
            <w:pPr>
              <w:jc w:val="center"/>
              <w:rPr>
                <w:rFonts w:ascii="宋体" w:hAnsi="宋体"/>
                <w:b/>
                <w:sz w:val="28"/>
                <w:szCs w:val="28"/>
              </w:rPr>
            </w:pPr>
            <w:r>
              <w:rPr>
                <w:rFonts w:hint="eastAsia" w:ascii="宋体" w:hAnsi="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rPr>
                <w:rFonts w:ascii="宋体" w:hAnsi="宋体"/>
                <w:b/>
                <w:sz w:val="28"/>
                <w:szCs w:val="28"/>
              </w:rPr>
            </w:pPr>
          </w:p>
        </w:tc>
        <w:tc>
          <w:tcPr>
            <w:tcW w:w="2160" w:type="dxa"/>
            <w:vAlign w:val="top"/>
          </w:tcPr>
          <w:p>
            <w:pPr>
              <w:rPr>
                <w:rFonts w:ascii="宋体" w:hAnsi="宋体"/>
                <w:b/>
                <w:sz w:val="28"/>
                <w:szCs w:val="28"/>
              </w:rPr>
            </w:pPr>
          </w:p>
        </w:tc>
        <w:tc>
          <w:tcPr>
            <w:tcW w:w="2520" w:type="dxa"/>
            <w:vAlign w:val="top"/>
          </w:tcPr>
          <w:p>
            <w:pPr>
              <w:rPr>
                <w:rFonts w:ascii="宋体" w:hAnsi="宋体"/>
                <w:b/>
                <w:sz w:val="28"/>
                <w:szCs w:val="28"/>
              </w:rPr>
            </w:pPr>
          </w:p>
        </w:tc>
        <w:tc>
          <w:tcPr>
            <w:tcW w:w="1400" w:type="dxa"/>
            <w:gridSpan w:val="2"/>
            <w:vAlign w:val="top"/>
          </w:tcPr>
          <w:p>
            <w:pP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rPr>
                <w:rFonts w:ascii="宋体" w:hAnsi="宋体"/>
                <w:b/>
                <w:sz w:val="28"/>
                <w:szCs w:val="28"/>
              </w:rPr>
            </w:pPr>
          </w:p>
        </w:tc>
        <w:tc>
          <w:tcPr>
            <w:tcW w:w="2160" w:type="dxa"/>
            <w:vAlign w:val="top"/>
          </w:tcPr>
          <w:p>
            <w:pPr>
              <w:jc w:val="center"/>
              <w:rPr>
                <w:rFonts w:ascii="宋体" w:hAnsi="宋体" w:eastAsia="宋体"/>
                <w:b/>
                <w:sz w:val="28"/>
                <w:szCs w:val="28"/>
              </w:rPr>
            </w:pPr>
          </w:p>
        </w:tc>
        <w:tc>
          <w:tcPr>
            <w:tcW w:w="2520" w:type="dxa"/>
            <w:vAlign w:val="top"/>
          </w:tcPr>
          <w:p>
            <w:pPr>
              <w:rPr>
                <w:rFonts w:ascii="宋体" w:hAnsi="宋体"/>
                <w:b/>
                <w:sz w:val="28"/>
                <w:szCs w:val="28"/>
              </w:rPr>
            </w:pPr>
          </w:p>
        </w:tc>
        <w:tc>
          <w:tcPr>
            <w:tcW w:w="1400" w:type="dxa"/>
            <w:gridSpan w:val="2"/>
            <w:vAlign w:val="top"/>
          </w:tcPr>
          <w:p>
            <w:pP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rPr>
                <w:rFonts w:ascii="宋体" w:hAnsi="宋体"/>
                <w:b/>
                <w:sz w:val="28"/>
                <w:szCs w:val="28"/>
              </w:rPr>
            </w:pPr>
          </w:p>
        </w:tc>
        <w:tc>
          <w:tcPr>
            <w:tcW w:w="2160" w:type="dxa"/>
            <w:vAlign w:val="top"/>
          </w:tcPr>
          <w:p>
            <w:pPr>
              <w:jc w:val="center"/>
              <w:rPr>
                <w:rFonts w:ascii="宋体" w:hAnsi="宋体" w:eastAsia="宋体"/>
                <w:b/>
                <w:sz w:val="28"/>
                <w:szCs w:val="28"/>
              </w:rPr>
            </w:pPr>
          </w:p>
        </w:tc>
        <w:tc>
          <w:tcPr>
            <w:tcW w:w="2520" w:type="dxa"/>
            <w:vAlign w:val="top"/>
          </w:tcPr>
          <w:p>
            <w:pPr>
              <w:rPr>
                <w:rFonts w:ascii="宋体" w:hAnsi="宋体"/>
                <w:b/>
                <w:sz w:val="28"/>
                <w:szCs w:val="28"/>
              </w:rPr>
            </w:pPr>
          </w:p>
        </w:tc>
        <w:tc>
          <w:tcPr>
            <w:tcW w:w="1400" w:type="dxa"/>
            <w:gridSpan w:val="2"/>
            <w:vAlign w:val="top"/>
          </w:tcPr>
          <w:p>
            <w:pP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2448" w:type="dxa"/>
            <w:vAlign w:val="top"/>
          </w:tcPr>
          <w:p>
            <w:pPr>
              <w:jc w:val="center"/>
              <w:rPr>
                <w:b/>
                <w:sz w:val="30"/>
              </w:rPr>
            </w:pPr>
          </w:p>
        </w:tc>
        <w:tc>
          <w:tcPr>
            <w:tcW w:w="2160" w:type="dxa"/>
            <w:vAlign w:val="top"/>
          </w:tcPr>
          <w:p>
            <w:pPr>
              <w:jc w:val="center"/>
              <w:rPr>
                <w:rFonts w:eastAsia="宋体"/>
                <w:b/>
                <w:sz w:val="30"/>
              </w:rPr>
            </w:pPr>
          </w:p>
        </w:tc>
        <w:tc>
          <w:tcPr>
            <w:tcW w:w="2520" w:type="dxa"/>
            <w:vAlign w:val="top"/>
          </w:tcPr>
          <w:p>
            <w:pPr>
              <w:jc w:val="center"/>
              <w:rPr>
                <w:b/>
                <w:sz w:val="30"/>
              </w:rPr>
            </w:pPr>
          </w:p>
        </w:tc>
        <w:tc>
          <w:tcPr>
            <w:tcW w:w="1394" w:type="dxa"/>
            <w:vAlign w:val="top"/>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2448" w:type="dxa"/>
            <w:vAlign w:val="top"/>
          </w:tcPr>
          <w:p>
            <w:pPr>
              <w:rPr>
                <w:b/>
                <w:sz w:val="30"/>
              </w:rPr>
            </w:pPr>
          </w:p>
        </w:tc>
        <w:tc>
          <w:tcPr>
            <w:tcW w:w="2160" w:type="dxa"/>
            <w:vAlign w:val="top"/>
          </w:tcPr>
          <w:p>
            <w:pPr>
              <w:jc w:val="center"/>
              <w:rPr>
                <w:rFonts w:eastAsia="宋体"/>
                <w:b/>
                <w:sz w:val="30"/>
              </w:rPr>
            </w:pPr>
          </w:p>
        </w:tc>
        <w:tc>
          <w:tcPr>
            <w:tcW w:w="2520" w:type="dxa"/>
            <w:vAlign w:val="top"/>
          </w:tcPr>
          <w:p>
            <w:pPr>
              <w:rPr>
                <w:b/>
                <w:sz w:val="30"/>
              </w:rPr>
            </w:pPr>
          </w:p>
        </w:tc>
        <w:tc>
          <w:tcPr>
            <w:tcW w:w="1394" w:type="dxa"/>
            <w:vAlign w:val="top"/>
          </w:tcPr>
          <w:p>
            <w:pP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2448" w:type="dxa"/>
            <w:vAlign w:val="top"/>
          </w:tcPr>
          <w:p>
            <w:pPr>
              <w:rPr>
                <w:b/>
                <w:sz w:val="30"/>
              </w:rPr>
            </w:pPr>
          </w:p>
        </w:tc>
        <w:tc>
          <w:tcPr>
            <w:tcW w:w="2160" w:type="dxa"/>
            <w:vAlign w:val="top"/>
          </w:tcPr>
          <w:p>
            <w:pPr>
              <w:rPr>
                <w:b/>
                <w:sz w:val="30"/>
              </w:rPr>
            </w:pPr>
          </w:p>
        </w:tc>
        <w:tc>
          <w:tcPr>
            <w:tcW w:w="2520" w:type="dxa"/>
            <w:vAlign w:val="top"/>
          </w:tcPr>
          <w:p>
            <w:pPr>
              <w:rPr>
                <w:b/>
                <w:sz w:val="30"/>
              </w:rPr>
            </w:pPr>
          </w:p>
        </w:tc>
        <w:tc>
          <w:tcPr>
            <w:tcW w:w="1394" w:type="dxa"/>
            <w:vAlign w:val="top"/>
          </w:tcPr>
          <w:p>
            <w:pP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739" w:hRule="atLeast"/>
        </w:trPr>
        <w:tc>
          <w:tcPr>
            <w:tcW w:w="2448" w:type="dxa"/>
            <w:vAlign w:val="top"/>
          </w:tcPr>
          <w:p>
            <w:pPr>
              <w:rPr>
                <w:b/>
                <w:sz w:val="30"/>
              </w:rPr>
            </w:pPr>
          </w:p>
        </w:tc>
        <w:tc>
          <w:tcPr>
            <w:tcW w:w="2160" w:type="dxa"/>
            <w:vAlign w:val="top"/>
          </w:tcPr>
          <w:p>
            <w:pPr>
              <w:rPr>
                <w:b/>
                <w:sz w:val="30"/>
              </w:rPr>
            </w:pPr>
          </w:p>
        </w:tc>
        <w:tc>
          <w:tcPr>
            <w:tcW w:w="2520" w:type="dxa"/>
            <w:vAlign w:val="top"/>
          </w:tcPr>
          <w:p>
            <w:pPr>
              <w:rPr>
                <w:b/>
                <w:sz w:val="30"/>
              </w:rPr>
            </w:pPr>
          </w:p>
        </w:tc>
        <w:tc>
          <w:tcPr>
            <w:tcW w:w="1394" w:type="dxa"/>
            <w:vAlign w:val="top"/>
          </w:tcPr>
          <w:p>
            <w:pP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Pr>
        <w:tc>
          <w:tcPr>
            <w:tcW w:w="2448" w:type="dxa"/>
            <w:vAlign w:val="top"/>
          </w:tcPr>
          <w:p>
            <w:pPr>
              <w:rPr>
                <w:b/>
                <w:sz w:val="30"/>
              </w:rPr>
            </w:pPr>
          </w:p>
        </w:tc>
        <w:tc>
          <w:tcPr>
            <w:tcW w:w="2160" w:type="dxa"/>
            <w:vAlign w:val="top"/>
          </w:tcPr>
          <w:p>
            <w:pPr>
              <w:rPr>
                <w:b/>
                <w:sz w:val="30"/>
              </w:rPr>
            </w:pPr>
          </w:p>
        </w:tc>
        <w:tc>
          <w:tcPr>
            <w:tcW w:w="2520" w:type="dxa"/>
            <w:vAlign w:val="top"/>
          </w:tcPr>
          <w:p>
            <w:pPr>
              <w:rPr>
                <w:b/>
                <w:sz w:val="30"/>
              </w:rPr>
            </w:pPr>
          </w:p>
        </w:tc>
        <w:tc>
          <w:tcPr>
            <w:tcW w:w="1394" w:type="dxa"/>
            <w:vAlign w:val="top"/>
          </w:tcPr>
          <w:p>
            <w:pPr>
              <w:rPr>
                <w:b/>
                <w:sz w:val="30"/>
              </w:rPr>
            </w:pPr>
          </w:p>
        </w:tc>
      </w:tr>
    </w:tbl>
    <w:p>
      <w:pPr>
        <w:tabs>
          <w:tab w:val="left" w:pos="2475"/>
        </w:tabs>
        <w:jc w:val="right"/>
        <w:rPr>
          <w:rFonts w:eastAsia="宋体"/>
          <w:b/>
          <w:sz w:val="32"/>
          <w:szCs w:val="32"/>
        </w:rPr>
      </w:pPr>
      <w:r>
        <w:rPr>
          <w:rFonts w:hint="eastAsia"/>
          <w:b/>
          <w:sz w:val="32"/>
          <w:szCs w:val="32"/>
        </w:rPr>
        <w:t>重庆市潼南区传媒（集团）有限公司</w:t>
      </w:r>
    </w:p>
    <w:p>
      <w:pPr>
        <w:tabs>
          <w:tab w:val="left" w:pos="2475"/>
        </w:tabs>
        <w:jc w:val="center"/>
        <w:rPr>
          <w:rFonts w:ascii="黑体" w:hAnsi="黑体" w:eastAsia="黑体" w:cs="宋体"/>
          <w:color w:val="000000"/>
          <w:kern w:val="0"/>
          <w:sz w:val="36"/>
          <w:szCs w:val="36"/>
        </w:rPr>
        <w:sectPr>
          <w:footerReference r:id="rId4" w:type="default"/>
          <w:pgSz w:w="11906" w:h="16838"/>
          <w:pgMar w:top="1440" w:right="1800" w:bottom="1440" w:left="1800" w:header="851" w:footer="992" w:gutter="0"/>
          <w:cols w:space="720" w:num="1"/>
          <w:docGrid w:type="lines" w:linePitch="312" w:charSpace="0"/>
        </w:sectPr>
      </w:pPr>
      <w:r>
        <w:rPr>
          <w:rFonts w:hint="eastAsia"/>
          <w:b/>
          <w:sz w:val="32"/>
          <w:szCs w:val="32"/>
        </w:rPr>
        <w:t xml:space="preserve">            2020年10月16日</w:t>
      </w:r>
    </w:p>
    <w:tbl>
      <w:tblPr>
        <w:tblStyle w:val="8"/>
        <w:tblW w:w="143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52"/>
        <w:gridCol w:w="2310"/>
        <w:gridCol w:w="2505"/>
        <w:gridCol w:w="2520"/>
        <w:gridCol w:w="2205"/>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3" w:hRule="atLeast"/>
        </w:trPr>
        <w:tc>
          <w:tcPr>
            <w:tcW w:w="14337"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rPr>
              <w:t>2020中国·重庆潼南国际柠檬节开幕式（峰会）</w:t>
            </w:r>
            <w:r>
              <w:rPr>
                <w:rFonts w:hint="eastAsia" w:ascii="宋体" w:hAnsi="宋体" w:eastAsia="宋体" w:cs="宋体"/>
                <w:b/>
                <w:color w:val="000000"/>
                <w:kern w:val="0"/>
                <w:sz w:val="32"/>
                <w:szCs w:val="32"/>
              </w:rPr>
              <w:br/>
            </w:r>
            <w:r>
              <w:rPr>
                <w:rFonts w:hint="eastAsia" w:ascii="宋体" w:hAnsi="宋体" w:eastAsia="宋体" w:cs="宋体"/>
                <w:b/>
                <w:color w:val="000000"/>
                <w:kern w:val="0"/>
                <w:sz w:val="32"/>
                <w:szCs w:val="32"/>
              </w:rPr>
              <w:t>服务采购项目竞争性谈判开标记录表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9" w:hRule="atLeast"/>
        </w:trPr>
        <w:tc>
          <w:tcPr>
            <w:tcW w:w="3252" w:type="dxa"/>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rPr>
              <w:t>开标地点：重庆市潼南区传媒集团三楼阅览室</w:t>
            </w:r>
          </w:p>
        </w:tc>
        <w:tc>
          <w:tcPr>
            <w:tcW w:w="2310" w:type="dxa"/>
            <w:tcBorders>
              <w:top w:val="nil"/>
              <w:left w:val="nil"/>
              <w:bottom w:val="nil"/>
              <w:right w:val="nil"/>
            </w:tcBorders>
            <w:tcMar>
              <w:top w:w="15" w:type="dxa"/>
              <w:left w:w="15" w:type="dxa"/>
              <w:right w:w="15" w:type="dxa"/>
            </w:tcMar>
            <w:vAlign w:val="center"/>
          </w:tcPr>
          <w:p>
            <w:pPr>
              <w:jc w:val="left"/>
              <w:rPr>
                <w:rFonts w:ascii="宋体" w:hAnsi="宋体" w:eastAsia="宋体" w:cs="宋体"/>
                <w:b/>
                <w:color w:val="000000"/>
                <w:sz w:val="32"/>
                <w:szCs w:val="32"/>
              </w:rPr>
            </w:pPr>
          </w:p>
        </w:tc>
        <w:tc>
          <w:tcPr>
            <w:tcW w:w="2505" w:type="dxa"/>
            <w:tcBorders>
              <w:top w:val="nil"/>
              <w:left w:val="nil"/>
              <w:bottom w:val="nil"/>
              <w:right w:val="nil"/>
            </w:tcBorders>
            <w:tcMar>
              <w:top w:w="15" w:type="dxa"/>
              <w:left w:w="15" w:type="dxa"/>
              <w:right w:w="15" w:type="dxa"/>
            </w:tcMar>
            <w:vAlign w:val="center"/>
          </w:tcPr>
          <w:p>
            <w:pPr>
              <w:jc w:val="left"/>
              <w:rPr>
                <w:rFonts w:ascii="宋体" w:hAnsi="宋体" w:eastAsia="宋体" w:cs="宋体"/>
                <w:b/>
                <w:color w:val="000000"/>
                <w:sz w:val="32"/>
                <w:szCs w:val="32"/>
              </w:rPr>
            </w:pPr>
          </w:p>
        </w:tc>
        <w:tc>
          <w:tcPr>
            <w:tcW w:w="6270" w:type="dxa"/>
            <w:gridSpan w:val="3"/>
            <w:tcBorders>
              <w:top w:val="nil"/>
              <w:left w:val="nil"/>
              <w:bottom w:val="single" w:color="000000" w:sz="4" w:space="0"/>
              <w:right w:val="nil"/>
            </w:tcBorders>
            <w:tcMar>
              <w:top w:w="15" w:type="dxa"/>
              <w:left w:w="15" w:type="dxa"/>
              <w:right w:w="15" w:type="dxa"/>
            </w:tcMar>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rPr>
              <w:t>开标时间：2020年10月16日10：00分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325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投标人</w:t>
            </w:r>
          </w:p>
        </w:tc>
        <w:tc>
          <w:tcPr>
            <w:tcW w:w="2310" w:type="dxa"/>
            <w:tcBorders>
              <w:top w:val="single" w:color="000000" w:sz="4" w:space="0"/>
              <w:left w:val="single" w:color="000000" w:sz="4" w:space="0"/>
              <w:bottom w:val="nil"/>
              <w:right w:val="nil"/>
            </w:tcBorders>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第一次报价</w:t>
            </w:r>
          </w:p>
        </w:tc>
        <w:tc>
          <w:tcPr>
            <w:tcW w:w="2505" w:type="dxa"/>
            <w:tcBorders>
              <w:top w:val="single" w:color="000000" w:sz="4" w:space="0"/>
              <w:left w:val="single" w:color="000000" w:sz="4" w:space="0"/>
              <w:bottom w:val="nil"/>
              <w:right w:val="nil"/>
            </w:tcBorders>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第二次报价</w:t>
            </w:r>
          </w:p>
        </w:tc>
        <w:tc>
          <w:tcPr>
            <w:tcW w:w="2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保证金缴纳情况</w:t>
            </w:r>
          </w:p>
        </w:tc>
        <w:tc>
          <w:tcPr>
            <w:tcW w:w="220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投标人代表签字</w:t>
            </w:r>
          </w:p>
        </w:tc>
        <w:tc>
          <w:tcPr>
            <w:tcW w:w="154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b/>
                <w:color w:val="333333"/>
                <w:sz w:val="28"/>
                <w:szCs w:val="28"/>
              </w:rPr>
            </w:pP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b/>
                <w:color w:val="333333"/>
                <w:sz w:val="28"/>
                <w:szCs w:val="28"/>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color w:val="333333"/>
                <w:sz w:val="28"/>
                <w:szCs w:val="28"/>
              </w:rPr>
            </w:pPr>
          </w:p>
        </w:tc>
        <w:tc>
          <w:tcPr>
            <w:tcW w:w="2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b/>
                <w:color w:val="000000"/>
                <w:sz w:val="28"/>
                <w:szCs w:val="28"/>
              </w:rPr>
            </w:pP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b/>
                <w:color w:val="333333"/>
                <w:sz w:val="28"/>
                <w:szCs w:val="28"/>
              </w:rPr>
            </w:pP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b/>
                <w:color w:val="333333"/>
                <w:sz w:val="28"/>
                <w:szCs w:val="28"/>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color w:val="333333"/>
                <w:sz w:val="28"/>
                <w:szCs w:val="28"/>
              </w:rPr>
            </w:pPr>
          </w:p>
        </w:tc>
        <w:tc>
          <w:tcPr>
            <w:tcW w:w="2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eastAsia="宋体" w:cs="宋体"/>
                <w:b/>
                <w:color w:val="000000"/>
                <w:sz w:val="28"/>
                <w:szCs w:val="28"/>
              </w:rPr>
            </w:pP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b/>
                <w:color w:val="000000"/>
                <w:sz w:val="28"/>
                <w:szCs w:val="28"/>
              </w:rPr>
            </w:pP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b/>
                <w:color w:val="333333"/>
                <w:sz w:val="28"/>
                <w:szCs w:val="28"/>
              </w:rPr>
            </w:pP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b/>
                <w:color w:val="333333"/>
                <w:sz w:val="28"/>
                <w:szCs w:val="28"/>
              </w:rPr>
            </w:pPr>
          </w:p>
        </w:tc>
        <w:tc>
          <w:tcPr>
            <w:tcW w:w="2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color w:val="333333"/>
                <w:sz w:val="28"/>
                <w:szCs w:val="28"/>
              </w:rPr>
            </w:pPr>
          </w:p>
        </w:tc>
        <w:tc>
          <w:tcPr>
            <w:tcW w:w="2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b/>
                <w:color w:val="000000"/>
                <w:sz w:val="28"/>
                <w:szCs w:val="28"/>
              </w:rPr>
            </w:pP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3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333333"/>
                <w:sz w:val="28"/>
                <w:szCs w:val="28"/>
              </w:rPr>
            </w:pPr>
            <w:r>
              <w:rPr>
                <w:rFonts w:hint="eastAsia" w:ascii="宋体" w:hAnsi="宋体" w:eastAsia="宋体" w:cs="宋体"/>
                <w:b/>
                <w:color w:val="333333"/>
                <w:kern w:val="0"/>
                <w:sz w:val="28"/>
                <w:szCs w:val="28"/>
              </w:rPr>
              <w:t>总价最高限价</w:t>
            </w:r>
          </w:p>
        </w:tc>
        <w:tc>
          <w:tcPr>
            <w:tcW w:w="1108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eastAsia="宋体" w:cs="宋体"/>
                <w:b/>
                <w:color w:val="333333"/>
                <w:sz w:val="28"/>
                <w:szCs w:val="28"/>
              </w:rPr>
            </w:pPr>
            <w:r>
              <w:rPr>
                <w:rFonts w:hint="eastAsia" w:ascii="宋体" w:hAnsi="宋体" w:eastAsia="宋体" w:cs="宋体"/>
                <w:b/>
                <w:color w:val="333333"/>
                <w:kern w:val="0"/>
                <w:sz w:val="28"/>
                <w:szCs w:val="28"/>
              </w:rPr>
              <w:t>￥510,000.00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9" w:hRule="atLeast"/>
        </w:trPr>
        <w:tc>
          <w:tcPr>
            <w:tcW w:w="3252" w:type="dxa"/>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招标人：</w:t>
            </w:r>
          </w:p>
        </w:tc>
        <w:tc>
          <w:tcPr>
            <w:tcW w:w="2310" w:type="dxa"/>
            <w:tcBorders>
              <w:top w:val="nil"/>
              <w:left w:val="nil"/>
              <w:bottom w:val="nil"/>
              <w:right w:val="nil"/>
            </w:tcBorders>
            <w:tcMar>
              <w:top w:w="15" w:type="dxa"/>
              <w:left w:w="15" w:type="dxa"/>
              <w:right w:w="15" w:type="dxa"/>
            </w:tcMar>
            <w:vAlign w:val="center"/>
          </w:tcPr>
          <w:p>
            <w:pPr>
              <w:rPr>
                <w:rFonts w:ascii="宋体" w:hAnsi="宋体" w:eastAsia="宋体" w:cs="宋体"/>
                <w:b/>
                <w:color w:val="000000"/>
                <w:sz w:val="28"/>
                <w:szCs w:val="28"/>
              </w:rPr>
            </w:pPr>
          </w:p>
        </w:tc>
        <w:tc>
          <w:tcPr>
            <w:tcW w:w="2505" w:type="dxa"/>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监督人：</w:t>
            </w:r>
          </w:p>
        </w:tc>
        <w:tc>
          <w:tcPr>
            <w:tcW w:w="2520" w:type="dxa"/>
            <w:tcBorders>
              <w:top w:val="nil"/>
              <w:left w:val="nil"/>
              <w:bottom w:val="nil"/>
              <w:right w:val="nil"/>
            </w:tcBorders>
            <w:tcMar>
              <w:top w:w="15" w:type="dxa"/>
              <w:left w:w="15" w:type="dxa"/>
              <w:right w:w="15" w:type="dxa"/>
            </w:tcMar>
            <w:vAlign w:val="center"/>
          </w:tcPr>
          <w:p>
            <w:pPr>
              <w:jc w:val="center"/>
              <w:rPr>
                <w:rFonts w:ascii="宋体" w:hAnsi="宋体" w:eastAsia="宋体" w:cs="宋体"/>
                <w:b/>
                <w:color w:val="000000"/>
                <w:sz w:val="28"/>
                <w:szCs w:val="28"/>
              </w:rPr>
            </w:pPr>
          </w:p>
        </w:tc>
        <w:tc>
          <w:tcPr>
            <w:tcW w:w="3750" w:type="dxa"/>
            <w:gridSpan w:val="2"/>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记录人：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9" w:hRule="atLeast"/>
        </w:trPr>
        <w:tc>
          <w:tcPr>
            <w:tcW w:w="14337"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 xml:space="preserve">                                   重庆市潼南区传媒（集团）有限公司</w:t>
            </w:r>
          </w:p>
        </w:tc>
      </w:tr>
    </w:tbl>
    <w:p>
      <w:pPr>
        <w:widowControl/>
        <w:textAlignment w:val="center"/>
        <w:rPr>
          <w:rFonts w:ascii="宋体" w:hAnsi="宋体" w:eastAsia="宋体" w:cs="宋体"/>
          <w:b/>
          <w:color w:val="000000"/>
          <w:kern w:val="0"/>
          <w:sz w:val="28"/>
          <w:szCs w:val="28"/>
        </w:rPr>
        <w:sectPr>
          <w:pgSz w:w="16838" w:h="11906" w:orient="landscape"/>
          <w:pgMar w:top="1800" w:right="1440" w:bottom="1800" w:left="1440" w:header="851" w:footer="992" w:gutter="0"/>
          <w:cols w:space="720" w:num="1"/>
          <w:docGrid w:type="lines" w:linePitch="312" w:charSpace="0"/>
        </w:sectPr>
      </w:pPr>
    </w:p>
    <w:p>
      <w:pPr>
        <w:pStyle w:val="2"/>
      </w:pPr>
    </w:p>
    <w:p>
      <w:pPr>
        <w:widowControl/>
        <w:shd w:val="clear" w:color="auto" w:fill="FFFFFF"/>
        <w:spacing w:line="620" w:lineRule="atLeast"/>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投标人符合性审查表</w:t>
      </w:r>
    </w:p>
    <w:tbl>
      <w:tblPr>
        <w:tblStyle w:val="8"/>
        <w:tblW w:w="93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80"/>
        <w:gridCol w:w="1723"/>
        <w:gridCol w:w="1212"/>
        <w:gridCol w:w="1538"/>
        <w:gridCol w:w="1014"/>
        <w:gridCol w:w="2290"/>
        <w:gridCol w:w="20"/>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jc w:val="center"/>
        </w:trPr>
        <w:tc>
          <w:tcPr>
            <w:tcW w:w="15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项目名称</w:t>
            </w:r>
          </w:p>
        </w:tc>
        <w:tc>
          <w:tcPr>
            <w:tcW w:w="7797" w:type="dxa"/>
            <w:gridSpan w:val="6"/>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left"/>
              <w:rPr>
                <w:rFonts w:ascii="仿宋_GB2312" w:hAnsi="宋体" w:eastAsia="仿宋_GB2312" w:cs="宋体"/>
                <w:kern w:val="0"/>
                <w:sz w:val="24"/>
              </w:rPr>
            </w:pPr>
            <w:r>
              <w:rPr>
                <w:rFonts w:hint="eastAsia" w:ascii="仿宋_GB2312" w:hAnsi="宋体" w:eastAsia="仿宋_GB2312" w:cs="宋体"/>
                <w:kern w:val="0"/>
                <w:sz w:val="24"/>
              </w:rPr>
              <w:t>2020中国·重庆潼南国际柠檬节开幕式（峰会）服务采购项目</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7" w:hRule="atLeast"/>
          <w:jc w:val="center"/>
        </w:trPr>
        <w:tc>
          <w:tcPr>
            <w:tcW w:w="1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审查依据</w:t>
            </w:r>
          </w:p>
        </w:tc>
        <w:tc>
          <w:tcPr>
            <w:tcW w:w="7797" w:type="dxa"/>
            <w:gridSpan w:val="6"/>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left"/>
              <w:rPr>
                <w:rFonts w:ascii="宋体" w:hAnsi="宋体" w:cs="宋体"/>
                <w:kern w:val="0"/>
                <w:sz w:val="24"/>
              </w:rPr>
            </w:pPr>
            <w:r>
              <w:rPr>
                <w:rFonts w:hint="eastAsia" w:ascii="仿宋_GB2312" w:hAnsi="宋体" w:eastAsia="仿宋_GB2312" w:cs="宋体"/>
                <w:kern w:val="0"/>
                <w:sz w:val="24"/>
              </w:rPr>
              <w:t>投标人资格、对招标文件实质响应情况。</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7" w:hRule="atLeast"/>
          <w:jc w:val="center"/>
        </w:trPr>
        <w:tc>
          <w:tcPr>
            <w:tcW w:w="9377"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提交响应文件供应商名单</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3" w:hRule="atLeast"/>
          <w:jc w:val="center"/>
        </w:trPr>
        <w:tc>
          <w:tcPr>
            <w:tcW w:w="1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供应商1</w:t>
            </w:r>
          </w:p>
        </w:tc>
        <w:tc>
          <w:tcPr>
            <w:tcW w:w="7797" w:type="dxa"/>
            <w:gridSpan w:val="6"/>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1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供应商2</w:t>
            </w:r>
          </w:p>
        </w:tc>
        <w:tc>
          <w:tcPr>
            <w:tcW w:w="7797" w:type="dxa"/>
            <w:gridSpan w:val="6"/>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jc w:val="center"/>
        </w:trPr>
        <w:tc>
          <w:tcPr>
            <w:tcW w:w="1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供应商3</w:t>
            </w:r>
          </w:p>
        </w:tc>
        <w:tc>
          <w:tcPr>
            <w:tcW w:w="7797" w:type="dxa"/>
            <w:gridSpan w:val="6"/>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jc w:val="center"/>
        </w:trPr>
        <w:tc>
          <w:tcPr>
            <w:tcW w:w="1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w:t>
            </w:r>
          </w:p>
        </w:tc>
        <w:tc>
          <w:tcPr>
            <w:tcW w:w="7797" w:type="dxa"/>
            <w:gridSpan w:val="6"/>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59" w:hRule="atLeast"/>
          <w:jc w:val="center"/>
        </w:trPr>
        <w:tc>
          <w:tcPr>
            <w:tcW w:w="9357" w:type="dxa"/>
            <w:gridSpan w:val="6"/>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通过符合性审查供应商名单</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1" w:hRule="atLeast"/>
          <w:jc w:val="center"/>
        </w:trPr>
        <w:tc>
          <w:tcPr>
            <w:tcW w:w="1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供应商1</w:t>
            </w:r>
          </w:p>
        </w:tc>
        <w:tc>
          <w:tcPr>
            <w:tcW w:w="7797" w:type="dxa"/>
            <w:gridSpan w:val="6"/>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jc w:val="center"/>
        </w:trPr>
        <w:tc>
          <w:tcPr>
            <w:tcW w:w="1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供应商2</w:t>
            </w:r>
          </w:p>
        </w:tc>
        <w:tc>
          <w:tcPr>
            <w:tcW w:w="7797" w:type="dxa"/>
            <w:gridSpan w:val="6"/>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jc w:val="center"/>
        </w:trPr>
        <w:tc>
          <w:tcPr>
            <w:tcW w:w="1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供应商3</w:t>
            </w:r>
          </w:p>
        </w:tc>
        <w:tc>
          <w:tcPr>
            <w:tcW w:w="7797" w:type="dxa"/>
            <w:gridSpan w:val="6"/>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1" w:hRule="atLeast"/>
          <w:jc w:val="center"/>
        </w:trPr>
        <w:tc>
          <w:tcPr>
            <w:tcW w:w="1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w:t>
            </w:r>
          </w:p>
        </w:tc>
        <w:tc>
          <w:tcPr>
            <w:tcW w:w="7797" w:type="dxa"/>
            <w:gridSpan w:val="6"/>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524" w:hRule="atLeast"/>
          <w:jc w:val="center"/>
        </w:trPr>
        <w:tc>
          <w:tcPr>
            <w:tcW w:w="9357" w:type="dxa"/>
            <w:gridSpan w:val="6"/>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未通符合性审查的供应商名单</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jc w:val="center"/>
        </w:trPr>
        <w:tc>
          <w:tcPr>
            <w:tcW w:w="1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供应商1</w:t>
            </w:r>
          </w:p>
        </w:tc>
        <w:tc>
          <w:tcPr>
            <w:tcW w:w="7797" w:type="dxa"/>
            <w:gridSpan w:val="6"/>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jc w:val="center"/>
        </w:trPr>
        <w:tc>
          <w:tcPr>
            <w:tcW w:w="1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原因</w:t>
            </w:r>
          </w:p>
        </w:tc>
        <w:tc>
          <w:tcPr>
            <w:tcW w:w="7797" w:type="dxa"/>
            <w:gridSpan w:val="6"/>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供应商2</w:t>
            </w:r>
          </w:p>
        </w:tc>
        <w:tc>
          <w:tcPr>
            <w:tcW w:w="7797" w:type="dxa"/>
            <w:gridSpan w:val="6"/>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3" w:hRule="atLeast"/>
          <w:jc w:val="center"/>
        </w:trPr>
        <w:tc>
          <w:tcPr>
            <w:tcW w:w="1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原因</w:t>
            </w:r>
          </w:p>
        </w:tc>
        <w:tc>
          <w:tcPr>
            <w:tcW w:w="7797"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single" w:color="auto" w:sz="8" w:space="0"/>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302" w:hRule="atLeast"/>
          <w:jc w:val="center"/>
        </w:trPr>
        <w:tc>
          <w:tcPr>
            <w:tcW w:w="15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w:t>
            </w:r>
          </w:p>
        </w:tc>
        <w:tc>
          <w:tcPr>
            <w:tcW w:w="7797"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3303" w:type="dxa"/>
            <w:gridSpan w:val="2"/>
            <w:tcBorders>
              <w:top w:val="nil"/>
              <w:left w:val="single" w:color="auto" w:sz="8" w:space="0"/>
              <w:bottom w:val="single" w:color="auto" w:sz="8" w:space="0"/>
              <w:right w:val="single" w:color="auto" w:sz="8" w:space="0"/>
            </w:tcBorders>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本次采购活动是否终止</w:t>
            </w:r>
          </w:p>
        </w:tc>
        <w:tc>
          <w:tcPr>
            <w:tcW w:w="1212" w:type="dxa"/>
            <w:tcBorders>
              <w:top w:val="nil"/>
              <w:left w:val="nil"/>
              <w:bottom w:val="single" w:color="auto" w:sz="8" w:space="0"/>
              <w:right w:val="single" w:color="auto" w:sz="8" w:space="0"/>
            </w:tcBorders>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是</w:t>
            </w:r>
          </w:p>
        </w:tc>
        <w:tc>
          <w:tcPr>
            <w:tcW w:w="1538" w:type="dxa"/>
            <w:tcBorders>
              <w:top w:val="nil"/>
              <w:left w:val="nil"/>
              <w:bottom w:val="single" w:color="auto" w:sz="8" w:space="0"/>
              <w:right w:val="single" w:color="auto" w:sz="8" w:space="0"/>
            </w:tcBorders>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 </w:t>
            </w:r>
          </w:p>
        </w:tc>
        <w:tc>
          <w:tcPr>
            <w:tcW w:w="10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否</w:t>
            </w:r>
          </w:p>
        </w:tc>
        <w:tc>
          <w:tcPr>
            <w:tcW w:w="231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0" w:hRule="atLeast"/>
          <w:jc w:val="center"/>
        </w:trPr>
        <w:tc>
          <w:tcPr>
            <w:tcW w:w="9377"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left"/>
              <w:rPr>
                <w:rFonts w:ascii="宋体" w:hAnsi="宋体" w:cs="宋体"/>
                <w:kern w:val="0"/>
                <w:sz w:val="24"/>
              </w:rPr>
            </w:pPr>
            <w:r>
              <w:rPr>
                <w:rFonts w:hint="eastAsia" w:ascii="仿宋_GB2312" w:hAnsi="宋体" w:eastAsia="仿宋_GB2312" w:cs="宋体"/>
                <w:kern w:val="0"/>
                <w:sz w:val="24"/>
              </w:rPr>
              <w:t>谈判小组成员（签字）：</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6" w:hRule="atLeast"/>
          <w:jc w:val="center"/>
        </w:trPr>
        <w:tc>
          <w:tcPr>
            <w:tcW w:w="9377"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spacing w:line="500" w:lineRule="exact"/>
              <w:jc w:val="left"/>
              <w:rPr>
                <w:rFonts w:ascii="宋体" w:hAnsi="宋体" w:cs="宋体"/>
                <w:kern w:val="0"/>
                <w:sz w:val="24"/>
              </w:rPr>
            </w:pPr>
            <w:r>
              <w:rPr>
                <w:rFonts w:hint="eastAsia" w:ascii="仿宋_GB2312" w:hAnsi="宋体" w:eastAsia="仿宋_GB2312" w:cs="宋体"/>
                <w:kern w:val="0"/>
                <w:sz w:val="24"/>
              </w:rPr>
              <w:t>日期：2020年10月15日</w:t>
            </w:r>
          </w:p>
        </w:tc>
        <w:tc>
          <w:tcPr>
            <w:tcW w:w="20" w:type="dxa"/>
            <w:tcBorders>
              <w:top w:val="nil"/>
              <w:left w:val="nil"/>
              <w:bottom w:val="nil"/>
              <w:right w:val="nil"/>
            </w:tcBorders>
            <w:vAlign w:val="center"/>
          </w:tcPr>
          <w:p>
            <w:pPr>
              <w:widowControl/>
              <w:spacing w:line="500" w:lineRule="exact"/>
              <w:jc w:val="left"/>
              <w:rPr>
                <w:rFonts w:ascii="宋体" w:hAnsi="宋体" w:cs="宋体"/>
                <w:kern w:val="0"/>
                <w:sz w:val="24"/>
              </w:rPr>
            </w:pPr>
          </w:p>
        </w:tc>
      </w:tr>
    </w:tbl>
    <w:p/>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left"/>
        <w:rPr>
          <w:rFonts w:ascii="仿宋_GB2312" w:hAnsi="宋体" w:eastAsia="仿宋_GB2312" w:cs="宋体"/>
          <w:color w:val="000000"/>
          <w:kern w:val="0"/>
          <w:sz w:val="30"/>
          <w:szCs w:val="30"/>
        </w:rPr>
      </w:pPr>
    </w:p>
    <w:p>
      <w:pPr>
        <w:jc w:val="center"/>
        <w:rPr>
          <w:rFonts w:ascii="黑体" w:hAnsi="黑体" w:eastAsia="黑体"/>
          <w:sz w:val="32"/>
          <w:szCs w:val="32"/>
        </w:rPr>
      </w:pPr>
      <w:r>
        <w:rPr>
          <w:rFonts w:hint="eastAsia" w:ascii="黑体" w:hAnsi="黑体" w:eastAsia="黑体"/>
          <w:sz w:val="32"/>
          <w:szCs w:val="32"/>
        </w:rPr>
        <w:t>2020中国·重庆潼南国际柠檬节开幕式（峰会）</w:t>
      </w:r>
    </w:p>
    <w:p>
      <w:pPr>
        <w:jc w:val="center"/>
        <w:rPr>
          <w:rFonts w:ascii="黑体" w:hAnsi="黑体" w:eastAsia="黑体"/>
          <w:sz w:val="32"/>
          <w:szCs w:val="32"/>
        </w:rPr>
      </w:pPr>
      <w:r>
        <w:rPr>
          <w:rFonts w:hint="eastAsia" w:ascii="黑体" w:hAnsi="黑体" w:eastAsia="黑体"/>
          <w:sz w:val="32"/>
          <w:szCs w:val="32"/>
        </w:rPr>
        <w:t>服务采购项目竞争性谈判综合评分表</w:t>
      </w:r>
    </w:p>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投标人名称：</w:t>
      </w:r>
      <w:r>
        <w:rPr>
          <w:rFonts w:hint="eastAsia" w:ascii="仿宋_GB2312" w:hAnsi="宋体" w:eastAsia="仿宋_GB2312" w:cs="宋体"/>
          <w:color w:val="000000"/>
          <w:kern w:val="0"/>
          <w:sz w:val="30"/>
          <w:szCs w:val="30"/>
          <w:u w:val="single"/>
        </w:rPr>
        <w:t xml:space="preserve">                                </w:t>
      </w:r>
    </w:p>
    <w:tbl>
      <w:tblPr>
        <w:tblStyle w:val="8"/>
        <w:tblpPr w:leftFromText="180" w:rightFromText="180" w:vertAnchor="text" w:horzAnchor="page" w:tblpXSpec="center" w:tblpY="29"/>
        <w:tblOverlap w:val="never"/>
        <w:tblW w:w="93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75"/>
        <w:gridCol w:w="6587"/>
        <w:gridCol w:w="7"/>
        <w:gridCol w:w="635"/>
        <w:gridCol w:w="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1"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宋体" w:eastAsia="仿宋_GB2312"/>
                <w:color w:val="000000"/>
                <w:szCs w:val="21"/>
              </w:rPr>
            </w:pPr>
            <w:r>
              <w:rPr>
                <w:rFonts w:hint="eastAsia" w:ascii="仿宋_GB2312" w:hAnsi="宋体" w:eastAsia="仿宋_GB2312"/>
                <w:color w:val="000000"/>
                <w:szCs w:val="21"/>
              </w:rPr>
              <w:t>项目</w:t>
            </w:r>
          </w:p>
        </w:tc>
        <w:tc>
          <w:tcPr>
            <w:tcW w:w="659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宋体" w:eastAsia="仿宋_GB2312"/>
                <w:color w:val="000000"/>
                <w:szCs w:val="21"/>
              </w:rPr>
            </w:pPr>
            <w:r>
              <w:rPr>
                <w:rFonts w:hint="eastAsia" w:ascii="仿宋_GB2312" w:hAnsi="宋体" w:eastAsia="仿宋_GB2312"/>
                <w:color w:val="000000"/>
                <w:szCs w:val="21"/>
              </w:rPr>
              <w:t>评分标准</w:t>
            </w:r>
          </w:p>
        </w:tc>
        <w:tc>
          <w:tcPr>
            <w:tcW w:w="6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宋体" w:eastAsia="仿宋_GB2312"/>
                <w:color w:val="000000"/>
                <w:szCs w:val="21"/>
              </w:rPr>
            </w:pPr>
            <w:r>
              <w:rPr>
                <w:rFonts w:hint="eastAsia" w:ascii="仿宋_GB2312" w:hAnsi="宋体" w:eastAsia="仿宋_GB2312"/>
                <w:color w:val="000000"/>
                <w:szCs w:val="21"/>
              </w:rPr>
              <w:t>满分</w:t>
            </w:r>
          </w:p>
        </w:tc>
        <w:tc>
          <w:tcPr>
            <w:tcW w:w="867" w:type="dxa"/>
            <w:tcBorders>
              <w:top w:val="single" w:color="000000" w:sz="4" w:space="0"/>
              <w:left w:val="single" w:color="000000" w:sz="4" w:space="0"/>
              <w:bottom w:val="single" w:color="000000" w:sz="4" w:space="0"/>
              <w:right w:val="single" w:color="000000" w:sz="4" w:space="0"/>
            </w:tcBorders>
            <w:vAlign w:val="top"/>
          </w:tcPr>
          <w:p>
            <w:pPr>
              <w:widowControl/>
              <w:spacing w:line="300" w:lineRule="exact"/>
              <w:jc w:val="center"/>
              <w:textAlignment w:val="center"/>
              <w:rPr>
                <w:rFonts w:ascii="仿宋_GB2312" w:hAnsi="宋体" w:eastAsia="仿宋_GB2312"/>
                <w:color w:val="000000"/>
                <w:szCs w:val="21"/>
              </w:rPr>
            </w:pPr>
            <w:r>
              <w:rPr>
                <w:rFonts w:hint="eastAsia" w:ascii="仿宋_GB2312" w:hAnsi="宋体" w:eastAsia="仿宋_GB2312"/>
                <w:color w:val="000000"/>
                <w:szCs w:val="21"/>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9"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价格部分      （30分）</w:t>
            </w:r>
          </w:p>
        </w:tc>
        <w:tc>
          <w:tcPr>
            <w:tcW w:w="6594" w:type="dxa"/>
            <w:gridSpan w:val="2"/>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满足项目技术规格和质量要求，以投标人最终报价的最低价作为评标基准价，其价格分为30分。其他投标人的价格分统一按照下列公式计算：报价得分＝（评标基准价/最终报价）×30；得分保留至小数点后两位，两位小数位后的实行四舍五入。</w:t>
            </w:r>
          </w:p>
        </w:tc>
        <w:tc>
          <w:tcPr>
            <w:tcW w:w="635"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30</w:t>
            </w:r>
          </w:p>
        </w:tc>
        <w:tc>
          <w:tcPr>
            <w:tcW w:w="867" w:type="dxa"/>
            <w:tcBorders>
              <w:top w:val="single" w:color="000000" w:sz="4" w:space="0"/>
              <w:left w:val="single" w:color="000000" w:sz="4" w:space="0"/>
              <w:bottom w:val="single" w:color="000000" w:sz="4" w:space="0"/>
              <w:right w:val="single" w:color="000000" w:sz="4" w:space="0"/>
            </w:tcBorders>
            <w:vAlign w:val="top"/>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0" w:hRule="atLeast"/>
        </w:trPr>
        <w:tc>
          <w:tcPr>
            <w:tcW w:w="1275" w:type="dxa"/>
            <w:vMerge w:val="restart"/>
            <w:tcBorders>
              <w:top w:val="single" w:color="000000" w:sz="4" w:space="0"/>
              <w:left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p>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商务部分      （40分）</w:t>
            </w:r>
          </w:p>
        </w:tc>
        <w:tc>
          <w:tcPr>
            <w:tcW w:w="6594" w:type="dxa"/>
            <w:gridSpan w:val="2"/>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1、充分理解舞美造型核心意义，完善设计内容并合理编制施工方案确保设计效果呈现，具备执行类似大型节会活动经验和能力。总分15分，其中优得15分、良得12分、一般得10分、差不得分。</w:t>
            </w:r>
          </w:p>
        </w:tc>
        <w:tc>
          <w:tcPr>
            <w:tcW w:w="635"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15</w:t>
            </w:r>
          </w:p>
        </w:tc>
        <w:tc>
          <w:tcPr>
            <w:tcW w:w="867" w:type="dxa"/>
            <w:tcBorders>
              <w:top w:val="single" w:color="000000" w:sz="4" w:space="0"/>
              <w:left w:val="single" w:color="000000" w:sz="4" w:space="0"/>
              <w:bottom w:val="single" w:color="000000" w:sz="4" w:space="0"/>
              <w:right w:val="single" w:color="000000" w:sz="4" w:space="0"/>
            </w:tcBorders>
            <w:vAlign w:val="top"/>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0" w:hRule="atLeast"/>
        </w:trPr>
        <w:tc>
          <w:tcPr>
            <w:tcW w:w="1275" w:type="dxa"/>
            <w:vMerge w:val="continue"/>
            <w:tcBorders>
              <w:top w:val="single" w:color="000000" w:sz="4" w:space="0"/>
              <w:left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p>
        </w:tc>
        <w:tc>
          <w:tcPr>
            <w:tcW w:w="6594" w:type="dxa"/>
            <w:gridSpan w:val="2"/>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2、提供LED、音响、开幕式道具等技术参数，编制实施内容明细表（价格一览表），提供材质、工艺说明，技术指标达到活动举办要求。总分10分，其中优得10分、良得8分、一般得6分、差不得分。</w:t>
            </w:r>
          </w:p>
        </w:tc>
        <w:tc>
          <w:tcPr>
            <w:tcW w:w="635"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10</w:t>
            </w:r>
          </w:p>
        </w:tc>
        <w:tc>
          <w:tcPr>
            <w:tcW w:w="867" w:type="dxa"/>
            <w:tcBorders>
              <w:top w:val="single" w:color="000000" w:sz="4" w:space="0"/>
              <w:left w:val="single" w:color="000000" w:sz="4" w:space="0"/>
              <w:bottom w:val="single" w:color="000000" w:sz="4" w:space="0"/>
              <w:right w:val="single" w:color="000000" w:sz="4" w:space="0"/>
            </w:tcBorders>
            <w:vAlign w:val="top"/>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6" w:hRule="atLeast"/>
        </w:trPr>
        <w:tc>
          <w:tcPr>
            <w:tcW w:w="1275" w:type="dxa"/>
            <w:vMerge w:val="continue"/>
            <w:tcBorders>
              <w:left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p>
        </w:tc>
        <w:tc>
          <w:tcPr>
            <w:tcW w:w="6594" w:type="dxa"/>
            <w:gridSpan w:val="2"/>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3、安全因素考虑充分，大型桁架、主体造型符合安全检测标准，提供完备的安全管理措施。总分10分，其中优得10分、良得8分、一般得6分、差不得分。</w:t>
            </w:r>
          </w:p>
        </w:tc>
        <w:tc>
          <w:tcPr>
            <w:tcW w:w="635"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10</w:t>
            </w:r>
          </w:p>
        </w:tc>
        <w:tc>
          <w:tcPr>
            <w:tcW w:w="867" w:type="dxa"/>
            <w:tcBorders>
              <w:top w:val="single" w:color="000000" w:sz="4" w:space="0"/>
              <w:left w:val="single" w:color="000000" w:sz="4" w:space="0"/>
              <w:bottom w:val="single" w:color="000000" w:sz="4" w:space="0"/>
              <w:right w:val="single" w:color="000000" w:sz="4" w:space="0"/>
            </w:tcBorders>
            <w:vAlign w:val="top"/>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9" w:hRule="atLeast"/>
        </w:trPr>
        <w:tc>
          <w:tcPr>
            <w:tcW w:w="1275" w:type="dxa"/>
            <w:vMerge w:val="continue"/>
            <w:tcBorders>
              <w:left w:val="single" w:color="000000"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p>
        </w:tc>
        <w:tc>
          <w:tcPr>
            <w:tcW w:w="6594" w:type="dxa"/>
            <w:gridSpan w:val="2"/>
            <w:tcBorders>
              <w:top w:val="single" w:color="000000" w:sz="4" w:space="0"/>
              <w:left w:val="single" w:color="000000" w:sz="4" w:space="0"/>
              <w:right w:val="single" w:color="000000" w:sz="4" w:space="0"/>
            </w:tcBorders>
            <w:vAlign w:val="center"/>
          </w:tcPr>
          <w:p>
            <w:pPr>
              <w:pStyle w:val="6"/>
              <w:snapToGrid w:val="0"/>
              <w:spacing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5、投标人业绩佐证，2018年以来参与过2次以上相关大型活动执行并取得圆满成功，执行效果佳。总分5分，其中优得5分、良得3分、一般得2分、差不得分。</w:t>
            </w:r>
          </w:p>
        </w:tc>
        <w:tc>
          <w:tcPr>
            <w:tcW w:w="635" w:type="dxa"/>
            <w:tcBorders>
              <w:top w:val="single" w:color="000000" w:sz="4" w:space="0"/>
              <w:left w:val="single" w:color="000000" w:sz="4" w:space="0"/>
              <w:right w:val="single" w:color="000000" w:sz="4" w:space="0"/>
            </w:tcBorders>
            <w:vAlign w:val="center"/>
          </w:tcPr>
          <w:p>
            <w:pPr>
              <w:pStyle w:val="6"/>
              <w:snapToGrid w:val="0"/>
              <w:spacing w:line="300" w:lineRule="exact"/>
              <w:jc w:val="center"/>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5</w:t>
            </w:r>
          </w:p>
        </w:tc>
        <w:tc>
          <w:tcPr>
            <w:tcW w:w="867" w:type="dxa"/>
            <w:tcBorders>
              <w:top w:val="single" w:color="000000" w:sz="4" w:space="0"/>
              <w:left w:val="single" w:color="000000" w:sz="4" w:space="0"/>
              <w:right w:val="single" w:color="000000" w:sz="4" w:space="0"/>
            </w:tcBorders>
            <w:vAlign w:val="top"/>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8" w:hRule="atLeast"/>
        </w:trPr>
        <w:tc>
          <w:tcPr>
            <w:tcW w:w="1275" w:type="dxa"/>
            <w:vMerge w:val="restart"/>
            <w:tcBorders>
              <w:top w:val="single" w:color="auto" w:sz="4" w:space="0"/>
              <w:left w:val="single" w:color="000000" w:sz="4" w:space="0"/>
              <w:bottom w:val="single" w:color="000000" w:sz="4" w:space="0"/>
              <w:right w:val="single" w:color="auto"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服务部分（30分）</w:t>
            </w:r>
          </w:p>
        </w:tc>
        <w:tc>
          <w:tcPr>
            <w:tcW w:w="6594" w:type="dxa"/>
            <w:gridSpan w:val="2"/>
            <w:tcBorders>
              <w:top w:val="single" w:color="000000" w:sz="4" w:space="0"/>
              <w:left w:val="single" w:color="auto" w:sz="4" w:space="0"/>
              <w:bottom w:val="single" w:color="auto"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1、项目人员配备是否充分和技术力量是否雄厚。（设计师、音控师、舞台执行等是否专业）。总分10分，其中优得10分，良得8分，一般得6分，差不得分。</w:t>
            </w:r>
          </w:p>
        </w:tc>
        <w:tc>
          <w:tcPr>
            <w:tcW w:w="635" w:type="dxa"/>
            <w:tcBorders>
              <w:top w:val="single" w:color="000000" w:sz="4" w:space="0"/>
              <w:left w:val="single" w:color="000000" w:sz="4" w:space="0"/>
              <w:bottom w:val="single" w:color="auto" w:sz="4" w:space="0"/>
              <w:right w:val="single" w:color="000000" w:sz="4" w:space="0"/>
            </w:tcBorders>
            <w:vAlign w:val="center"/>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10</w:t>
            </w:r>
          </w:p>
        </w:tc>
        <w:tc>
          <w:tcPr>
            <w:tcW w:w="867" w:type="dxa"/>
            <w:tcBorders>
              <w:top w:val="single" w:color="000000" w:sz="4" w:space="0"/>
              <w:left w:val="single" w:color="000000" w:sz="4" w:space="0"/>
              <w:bottom w:val="single" w:color="auto" w:sz="4" w:space="0"/>
              <w:right w:val="single" w:color="000000" w:sz="4" w:space="0"/>
            </w:tcBorders>
            <w:vAlign w:val="top"/>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5" w:hRule="atLeast"/>
        </w:trPr>
        <w:tc>
          <w:tcPr>
            <w:tcW w:w="1275" w:type="dxa"/>
            <w:vMerge w:val="continue"/>
            <w:tcBorders>
              <w:top w:val="single" w:color="auto" w:sz="4" w:space="0"/>
              <w:left w:val="single" w:color="000000" w:sz="4" w:space="0"/>
              <w:bottom w:val="single" w:color="000000" w:sz="4" w:space="0"/>
              <w:right w:val="single" w:color="auto"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p>
        </w:tc>
        <w:tc>
          <w:tcPr>
            <w:tcW w:w="6594" w:type="dxa"/>
            <w:gridSpan w:val="2"/>
            <w:tcBorders>
              <w:top w:val="single" w:color="auto" w:sz="4" w:space="0"/>
              <w:left w:val="single" w:color="auto"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2、执行能力是否过硬，项目的进度、控制措施可靠，达到采购人时间进度要求。总分10分，其中优得10分，良得8分，一般得6分，差不得。</w:t>
            </w:r>
          </w:p>
        </w:tc>
        <w:tc>
          <w:tcPr>
            <w:tcW w:w="635" w:type="dxa"/>
            <w:tcBorders>
              <w:top w:val="single" w:color="auto" w:sz="4" w:space="0"/>
              <w:left w:val="single" w:color="000000" w:sz="4" w:space="0"/>
              <w:right w:val="single" w:color="000000" w:sz="4" w:space="0"/>
            </w:tcBorders>
            <w:vAlign w:val="center"/>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10</w:t>
            </w:r>
          </w:p>
        </w:tc>
        <w:tc>
          <w:tcPr>
            <w:tcW w:w="867" w:type="dxa"/>
            <w:tcBorders>
              <w:top w:val="single" w:color="auto" w:sz="4" w:space="0"/>
              <w:left w:val="single" w:color="000000" w:sz="4" w:space="0"/>
              <w:right w:val="single" w:color="000000" w:sz="4" w:space="0"/>
            </w:tcBorders>
            <w:vAlign w:val="top"/>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1275" w:type="dxa"/>
            <w:vMerge w:val="continue"/>
            <w:tcBorders>
              <w:top w:val="single" w:color="auto" w:sz="4" w:space="0"/>
              <w:left w:val="single" w:color="000000" w:sz="4" w:space="0"/>
              <w:bottom w:val="single" w:color="000000" w:sz="4" w:space="0"/>
              <w:right w:val="single" w:color="auto"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p>
        </w:tc>
        <w:tc>
          <w:tcPr>
            <w:tcW w:w="6594" w:type="dxa"/>
            <w:gridSpan w:val="2"/>
            <w:tcBorders>
              <w:top w:val="single" w:color="auto" w:sz="4" w:space="0"/>
              <w:left w:val="single" w:color="auto" w:sz="4" w:space="0"/>
              <w:bottom w:val="single" w:color="auto" w:sz="4" w:space="0"/>
              <w:right w:val="single" w:color="000000" w:sz="4" w:space="0"/>
            </w:tcBorders>
            <w:vAlign w:val="center"/>
          </w:tcPr>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3、提供更优化的设计服务，对临时调整提供及时到位服务，按采购方要求撤场。总分10分，其中优得10分，良得8分，一般得6分，差不得分。</w:t>
            </w:r>
          </w:p>
        </w:tc>
        <w:tc>
          <w:tcPr>
            <w:tcW w:w="635" w:type="dxa"/>
            <w:tcBorders>
              <w:top w:val="single" w:color="auto" w:sz="4" w:space="0"/>
              <w:left w:val="single" w:color="000000" w:sz="4" w:space="0"/>
              <w:bottom w:val="single" w:color="auto" w:sz="4" w:space="0"/>
              <w:right w:val="single" w:color="auto" w:sz="4" w:space="0"/>
            </w:tcBorders>
            <w:vAlign w:val="center"/>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10</w:t>
            </w:r>
          </w:p>
        </w:tc>
        <w:tc>
          <w:tcPr>
            <w:tcW w:w="867" w:type="dxa"/>
            <w:tcBorders>
              <w:top w:val="single" w:color="auto" w:sz="4" w:space="0"/>
              <w:left w:val="single" w:color="000000" w:sz="4" w:space="0"/>
              <w:bottom w:val="single" w:color="auto" w:sz="4" w:space="0"/>
              <w:right w:val="single" w:color="auto" w:sz="4" w:space="0"/>
            </w:tcBorders>
            <w:vAlign w:val="top"/>
          </w:tcPr>
          <w:p>
            <w:pPr>
              <w:pStyle w:val="6"/>
              <w:snapToGrid w:val="0"/>
              <w:spacing w:before="0" w:beforeAutospacing="0" w:after="0" w:afterAutospacing="0" w:line="300" w:lineRule="exact"/>
              <w:jc w:val="center"/>
              <w:rPr>
                <w:rFonts w:ascii="仿宋" w:hAnsi="仿宋" w:eastAsia="仿宋" w:cs="Times New Roman"/>
                <w:color w:val="000000"/>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9" w:hRule="atLeast"/>
        </w:trPr>
        <w:tc>
          <w:tcPr>
            <w:tcW w:w="7862"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宋体" w:eastAsia="仿宋_GB2312"/>
                <w:color w:val="000000"/>
                <w:szCs w:val="21"/>
              </w:rPr>
            </w:pPr>
            <w:r>
              <w:rPr>
                <w:rFonts w:hint="eastAsia" w:ascii="仿宋_GB2312" w:hAnsi="宋体" w:eastAsia="仿宋_GB2312"/>
                <w:color w:val="000000"/>
                <w:szCs w:val="21"/>
              </w:rPr>
              <w:t>合      计</w:t>
            </w:r>
          </w:p>
        </w:tc>
        <w:tc>
          <w:tcPr>
            <w:tcW w:w="6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宋体" w:eastAsia="仿宋_GB2312"/>
                <w:color w:val="000000"/>
                <w:szCs w:val="21"/>
              </w:rPr>
            </w:pPr>
            <w:r>
              <w:rPr>
                <w:rFonts w:hint="eastAsia" w:ascii="仿宋_GB2312" w:hAnsi="宋体" w:eastAsia="仿宋_GB2312"/>
                <w:color w:val="000000"/>
                <w:szCs w:val="21"/>
              </w:rPr>
              <w:t>100分</w:t>
            </w:r>
          </w:p>
        </w:tc>
        <w:tc>
          <w:tcPr>
            <w:tcW w:w="867" w:type="dxa"/>
            <w:tcBorders>
              <w:top w:val="single" w:color="000000" w:sz="4" w:space="0"/>
              <w:left w:val="single" w:color="000000" w:sz="4" w:space="0"/>
              <w:bottom w:val="single" w:color="000000" w:sz="4" w:space="0"/>
              <w:right w:val="single" w:color="000000" w:sz="4" w:space="0"/>
            </w:tcBorders>
            <w:vAlign w:val="top"/>
          </w:tcPr>
          <w:p>
            <w:pPr>
              <w:widowControl/>
              <w:spacing w:line="300" w:lineRule="exact"/>
              <w:jc w:val="center"/>
              <w:textAlignment w:val="center"/>
              <w:rPr>
                <w:rFonts w:ascii="仿宋_GB2312" w:hAnsi="宋体" w:eastAsia="仿宋_GB2312"/>
                <w:color w:val="000000"/>
                <w:szCs w:val="21"/>
              </w:rPr>
            </w:pPr>
          </w:p>
        </w:tc>
      </w:tr>
    </w:tbl>
    <w:p>
      <w:pPr>
        <w:pStyle w:val="6"/>
        <w:snapToGrid w:val="0"/>
        <w:spacing w:before="0" w:beforeAutospacing="0" w:after="0" w:afterAutospacing="0" w:line="300" w:lineRule="exact"/>
        <w:rPr>
          <w:rFonts w:ascii="仿宋" w:hAnsi="仿宋" w:eastAsia="仿宋" w:cs="Times New Roman"/>
          <w:color w:val="000000"/>
          <w:kern w:val="2"/>
          <w:sz w:val="21"/>
          <w:szCs w:val="21"/>
        </w:rPr>
      </w:pPr>
      <w:r>
        <w:rPr>
          <w:rFonts w:hint="eastAsia" w:ascii="仿宋" w:hAnsi="仿宋" w:eastAsia="仿宋" w:cs="Times New Roman"/>
          <w:color w:val="000000"/>
          <w:kern w:val="2"/>
          <w:sz w:val="21"/>
          <w:szCs w:val="21"/>
        </w:rPr>
        <w:t>注：本表由谈判小组成员独立评分。其中价格部分根据投标人最终报价情况，由统计员公布得分。</w:t>
      </w:r>
    </w:p>
    <w:p>
      <w:pPr>
        <w:pStyle w:val="6"/>
        <w:snapToGrid w:val="0"/>
        <w:spacing w:before="0" w:beforeAutospacing="0" w:after="0" w:afterAutospacing="0" w:line="300" w:lineRule="exact"/>
        <w:rPr>
          <w:rFonts w:ascii="仿宋" w:hAnsi="仿宋" w:eastAsia="仿宋" w:cs="Times New Roman"/>
          <w:color w:val="000000"/>
          <w:kern w:val="2"/>
          <w:sz w:val="21"/>
          <w:szCs w:val="21"/>
        </w:rPr>
      </w:pPr>
    </w:p>
    <w:p>
      <w:pPr>
        <w:widowControl/>
        <w:spacing w:line="520" w:lineRule="exact"/>
        <w:rPr>
          <w:rFonts w:ascii="黑体" w:hAnsi="方正小标宋简体" w:eastAsia="黑体" w:cs="宋体"/>
          <w:b/>
          <w:bCs/>
          <w:color w:val="000000"/>
          <w:kern w:val="0"/>
          <w:sz w:val="36"/>
          <w:szCs w:val="36"/>
        </w:rPr>
      </w:pPr>
    </w:p>
    <w:p>
      <w:pPr>
        <w:jc w:val="center"/>
        <w:rPr>
          <w:rFonts w:ascii="黑体" w:hAnsi="黑体" w:eastAsia="黑体"/>
          <w:sz w:val="32"/>
          <w:szCs w:val="32"/>
        </w:rPr>
      </w:pPr>
      <w:r>
        <w:rPr>
          <w:rFonts w:hint="eastAsia" w:ascii="黑体" w:hAnsi="黑体" w:eastAsia="黑体"/>
          <w:sz w:val="32"/>
          <w:szCs w:val="32"/>
        </w:rPr>
        <w:t>2020中国·重庆潼南国际柠檬节开幕式（峰会）</w:t>
      </w:r>
    </w:p>
    <w:p>
      <w:pPr>
        <w:jc w:val="center"/>
        <w:rPr>
          <w:rFonts w:ascii="黑体" w:hAnsi="黑体" w:eastAsia="黑体"/>
          <w:sz w:val="32"/>
          <w:szCs w:val="32"/>
        </w:rPr>
      </w:pPr>
      <w:r>
        <w:rPr>
          <w:rFonts w:hint="eastAsia" w:ascii="黑体" w:hAnsi="黑体" w:eastAsia="黑体"/>
          <w:sz w:val="32"/>
          <w:szCs w:val="32"/>
        </w:rPr>
        <w:t>服务采购项目竞争性谈判综合评分表</w:t>
      </w:r>
    </w:p>
    <w:p>
      <w:pPr>
        <w:widowControl/>
        <w:shd w:val="clear" w:color="auto" w:fill="FFFFFF"/>
        <w:spacing w:line="400" w:lineRule="exact"/>
        <w:jc w:val="left"/>
        <w:rPr>
          <w:rFonts w:ascii="仿宋_GB2312" w:hAnsi="宋体" w:eastAsia="仿宋_GB2312" w:cs="宋体"/>
          <w:color w:val="000000"/>
          <w:kern w:val="0"/>
          <w:sz w:val="30"/>
          <w:szCs w:val="30"/>
        </w:rPr>
      </w:pPr>
    </w:p>
    <w:tbl>
      <w:tblPr>
        <w:tblStyle w:val="9"/>
        <w:tblW w:w="90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1559"/>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620" w:lineRule="atLeast"/>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2977" w:type="dxa"/>
            <w:vAlign w:val="top"/>
          </w:tcPr>
          <w:p>
            <w:pPr>
              <w:widowControl/>
              <w:spacing w:line="620" w:lineRule="atLeast"/>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投标人名称</w:t>
            </w:r>
          </w:p>
        </w:tc>
        <w:tc>
          <w:tcPr>
            <w:tcW w:w="1559" w:type="dxa"/>
            <w:vAlign w:val="top"/>
          </w:tcPr>
          <w:p>
            <w:pPr>
              <w:widowControl/>
              <w:spacing w:line="620" w:lineRule="atLeast"/>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价格得分</w:t>
            </w:r>
          </w:p>
        </w:tc>
        <w:tc>
          <w:tcPr>
            <w:tcW w:w="1843" w:type="dxa"/>
            <w:vAlign w:val="top"/>
          </w:tcPr>
          <w:p>
            <w:pPr>
              <w:widowControl/>
              <w:spacing w:line="620" w:lineRule="atLeast"/>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商务服务得分</w:t>
            </w:r>
          </w:p>
        </w:tc>
        <w:tc>
          <w:tcPr>
            <w:tcW w:w="1842" w:type="dxa"/>
            <w:vAlign w:val="top"/>
          </w:tcPr>
          <w:p>
            <w:pPr>
              <w:widowControl/>
              <w:spacing w:line="620" w:lineRule="atLeast"/>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最终得分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620" w:lineRule="atLeast"/>
              <w:jc w:val="left"/>
              <w:rPr>
                <w:rFonts w:ascii="黑体" w:hAnsi="黑体" w:eastAsia="黑体" w:cs="宋体"/>
                <w:color w:val="000000"/>
                <w:kern w:val="0"/>
                <w:sz w:val="24"/>
                <w:szCs w:val="24"/>
              </w:rPr>
            </w:pPr>
          </w:p>
        </w:tc>
        <w:tc>
          <w:tcPr>
            <w:tcW w:w="2977" w:type="dxa"/>
            <w:vAlign w:val="top"/>
          </w:tcPr>
          <w:p>
            <w:pPr>
              <w:widowControl/>
              <w:spacing w:line="620" w:lineRule="atLeast"/>
              <w:jc w:val="left"/>
              <w:rPr>
                <w:rFonts w:ascii="黑体" w:hAnsi="黑体" w:eastAsia="黑体" w:cs="宋体"/>
                <w:color w:val="000000"/>
                <w:kern w:val="0"/>
                <w:sz w:val="24"/>
                <w:szCs w:val="24"/>
              </w:rPr>
            </w:pPr>
          </w:p>
        </w:tc>
        <w:tc>
          <w:tcPr>
            <w:tcW w:w="1559" w:type="dxa"/>
            <w:vAlign w:val="top"/>
          </w:tcPr>
          <w:p>
            <w:pPr>
              <w:widowControl/>
              <w:spacing w:line="620" w:lineRule="atLeast"/>
              <w:jc w:val="left"/>
              <w:rPr>
                <w:rFonts w:ascii="黑体" w:hAnsi="黑体" w:eastAsia="黑体" w:cs="宋体"/>
                <w:color w:val="000000"/>
                <w:kern w:val="0"/>
                <w:sz w:val="24"/>
                <w:szCs w:val="24"/>
              </w:rPr>
            </w:pPr>
          </w:p>
        </w:tc>
        <w:tc>
          <w:tcPr>
            <w:tcW w:w="1843" w:type="dxa"/>
            <w:vAlign w:val="top"/>
          </w:tcPr>
          <w:p>
            <w:pPr>
              <w:widowControl/>
              <w:spacing w:line="620" w:lineRule="atLeast"/>
              <w:jc w:val="left"/>
              <w:rPr>
                <w:rFonts w:ascii="黑体" w:hAnsi="黑体" w:eastAsia="黑体" w:cs="宋体"/>
                <w:color w:val="000000"/>
                <w:kern w:val="0"/>
                <w:sz w:val="24"/>
                <w:szCs w:val="24"/>
              </w:rPr>
            </w:pPr>
          </w:p>
        </w:tc>
        <w:tc>
          <w:tcPr>
            <w:tcW w:w="1842" w:type="dxa"/>
            <w:vAlign w:val="top"/>
          </w:tcPr>
          <w:p>
            <w:pPr>
              <w:widowControl/>
              <w:spacing w:line="620" w:lineRule="atLeast"/>
              <w:jc w:val="left"/>
              <w:rPr>
                <w:rFonts w:ascii="黑体" w:hAnsi="黑体" w:eastAsia="黑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620" w:lineRule="atLeast"/>
              <w:jc w:val="left"/>
              <w:rPr>
                <w:rFonts w:ascii="黑体" w:hAnsi="黑体" w:eastAsia="黑体" w:cs="宋体"/>
                <w:color w:val="000000"/>
                <w:kern w:val="0"/>
                <w:sz w:val="24"/>
                <w:szCs w:val="24"/>
              </w:rPr>
            </w:pPr>
          </w:p>
        </w:tc>
        <w:tc>
          <w:tcPr>
            <w:tcW w:w="2977" w:type="dxa"/>
            <w:vAlign w:val="top"/>
          </w:tcPr>
          <w:p>
            <w:pPr>
              <w:widowControl/>
              <w:spacing w:line="620" w:lineRule="atLeast"/>
              <w:jc w:val="left"/>
              <w:rPr>
                <w:rFonts w:ascii="黑体" w:hAnsi="黑体" w:eastAsia="黑体" w:cs="宋体"/>
                <w:color w:val="000000"/>
                <w:kern w:val="0"/>
                <w:sz w:val="24"/>
                <w:szCs w:val="24"/>
              </w:rPr>
            </w:pPr>
          </w:p>
        </w:tc>
        <w:tc>
          <w:tcPr>
            <w:tcW w:w="1559" w:type="dxa"/>
            <w:vAlign w:val="top"/>
          </w:tcPr>
          <w:p>
            <w:pPr>
              <w:widowControl/>
              <w:spacing w:line="620" w:lineRule="atLeast"/>
              <w:jc w:val="left"/>
              <w:rPr>
                <w:rFonts w:ascii="黑体" w:hAnsi="黑体" w:eastAsia="黑体" w:cs="宋体"/>
                <w:color w:val="000000"/>
                <w:kern w:val="0"/>
                <w:sz w:val="24"/>
                <w:szCs w:val="24"/>
              </w:rPr>
            </w:pPr>
          </w:p>
        </w:tc>
        <w:tc>
          <w:tcPr>
            <w:tcW w:w="1843" w:type="dxa"/>
            <w:vAlign w:val="top"/>
          </w:tcPr>
          <w:p>
            <w:pPr>
              <w:widowControl/>
              <w:spacing w:line="620" w:lineRule="atLeast"/>
              <w:jc w:val="left"/>
              <w:rPr>
                <w:rFonts w:ascii="黑体" w:hAnsi="黑体" w:eastAsia="黑体" w:cs="宋体"/>
                <w:color w:val="000000"/>
                <w:kern w:val="0"/>
                <w:sz w:val="24"/>
                <w:szCs w:val="24"/>
              </w:rPr>
            </w:pPr>
          </w:p>
        </w:tc>
        <w:tc>
          <w:tcPr>
            <w:tcW w:w="1842" w:type="dxa"/>
            <w:vAlign w:val="top"/>
          </w:tcPr>
          <w:p>
            <w:pPr>
              <w:widowControl/>
              <w:spacing w:line="620" w:lineRule="atLeast"/>
              <w:jc w:val="left"/>
              <w:rPr>
                <w:rFonts w:ascii="黑体" w:hAnsi="黑体" w:eastAsia="黑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620" w:lineRule="atLeast"/>
              <w:jc w:val="left"/>
              <w:rPr>
                <w:rFonts w:ascii="黑体" w:hAnsi="黑体" w:eastAsia="黑体" w:cs="宋体"/>
                <w:color w:val="000000"/>
                <w:kern w:val="0"/>
                <w:sz w:val="24"/>
                <w:szCs w:val="24"/>
              </w:rPr>
            </w:pPr>
          </w:p>
        </w:tc>
        <w:tc>
          <w:tcPr>
            <w:tcW w:w="2977" w:type="dxa"/>
            <w:vAlign w:val="top"/>
          </w:tcPr>
          <w:p>
            <w:pPr>
              <w:widowControl/>
              <w:spacing w:line="620" w:lineRule="atLeast"/>
              <w:jc w:val="left"/>
              <w:rPr>
                <w:rFonts w:ascii="黑体" w:hAnsi="黑体" w:eastAsia="黑体" w:cs="宋体"/>
                <w:color w:val="000000"/>
                <w:kern w:val="0"/>
                <w:sz w:val="24"/>
                <w:szCs w:val="24"/>
              </w:rPr>
            </w:pPr>
          </w:p>
        </w:tc>
        <w:tc>
          <w:tcPr>
            <w:tcW w:w="1559" w:type="dxa"/>
            <w:vAlign w:val="top"/>
          </w:tcPr>
          <w:p>
            <w:pPr>
              <w:widowControl/>
              <w:spacing w:line="620" w:lineRule="atLeast"/>
              <w:jc w:val="left"/>
              <w:rPr>
                <w:rFonts w:ascii="黑体" w:hAnsi="黑体" w:eastAsia="黑体" w:cs="宋体"/>
                <w:color w:val="000000"/>
                <w:kern w:val="0"/>
                <w:sz w:val="24"/>
                <w:szCs w:val="24"/>
              </w:rPr>
            </w:pPr>
          </w:p>
        </w:tc>
        <w:tc>
          <w:tcPr>
            <w:tcW w:w="1843" w:type="dxa"/>
            <w:vAlign w:val="top"/>
          </w:tcPr>
          <w:p>
            <w:pPr>
              <w:widowControl/>
              <w:spacing w:line="620" w:lineRule="atLeast"/>
              <w:jc w:val="left"/>
              <w:rPr>
                <w:rFonts w:ascii="黑体" w:hAnsi="黑体" w:eastAsia="黑体" w:cs="宋体"/>
                <w:color w:val="000000"/>
                <w:kern w:val="0"/>
                <w:sz w:val="24"/>
                <w:szCs w:val="24"/>
              </w:rPr>
            </w:pPr>
          </w:p>
        </w:tc>
        <w:tc>
          <w:tcPr>
            <w:tcW w:w="1842" w:type="dxa"/>
            <w:vAlign w:val="top"/>
          </w:tcPr>
          <w:p>
            <w:pPr>
              <w:widowControl/>
              <w:spacing w:line="620" w:lineRule="atLeast"/>
              <w:jc w:val="left"/>
              <w:rPr>
                <w:rFonts w:ascii="黑体" w:hAnsi="黑体" w:eastAsia="黑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620" w:lineRule="atLeast"/>
              <w:jc w:val="left"/>
              <w:rPr>
                <w:rFonts w:ascii="黑体" w:hAnsi="黑体" w:eastAsia="黑体" w:cs="宋体"/>
                <w:color w:val="000000"/>
                <w:kern w:val="0"/>
                <w:sz w:val="24"/>
                <w:szCs w:val="24"/>
              </w:rPr>
            </w:pPr>
          </w:p>
        </w:tc>
        <w:tc>
          <w:tcPr>
            <w:tcW w:w="2977" w:type="dxa"/>
            <w:vAlign w:val="top"/>
          </w:tcPr>
          <w:p>
            <w:pPr>
              <w:widowControl/>
              <w:spacing w:line="620" w:lineRule="atLeast"/>
              <w:jc w:val="left"/>
              <w:rPr>
                <w:rFonts w:ascii="黑体" w:hAnsi="黑体" w:eastAsia="黑体" w:cs="宋体"/>
                <w:color w:val="000000"/>
                <w:kern w:val="0"/>
                <w:sz w:val="24"/>
                <w:szCs w:val="24"/>
              </w:rPr>
            </w:pPr>
          </w:p>
        </w:tc>
        <w:tc>
          <w:tcPr>
            <w:tcW w:w="1559" w:type="dxa"/>
            <w:vAlign w:val="top"/>
          </w:tcPr>
          <w:p>
            <w:pPr>
              <w:widowControl/>
              <w:spacing w:line="620" w:lineRule="atLeast"/>
              <w:jc w:val="left"/>
              <w:rPr>
                <w:rFonts w:ascii="黑体" w:hAnsi="黑体" w:eastAsia="黑体" w:cs="宋体"/>
                <w:color w:val="000000"/>
                <w:kern w:val="0"/>
                <w:sz w:val="24"/>
                <w:szCs w:val="24"/>
              </w:rPr>
            </w:pPr>
          </w:p>
        </w:tc>
        <w:tc>
          <w:tcPr>
            <w:tcW w:w="1843" w:type="dxa"/>
            <w:vAlign w:val="top"/>
          </w:tcPr>
          <w:p>
            <w:pPr>
              <w:widowControl/>
              <w:spacing w:line="620" w:lineRule="atLeast"/>
              <w:jc w:val="left"/>
              <w:rPr>
                <w:rFonts w:ascii="黑体" w:hAnsi="黑体" w:eastAsia="黑体" w:cs="宋体"/>
                <w:color w:val="000000"/>
                <w:kern w:val="0"/>
                <w:sz w:val="24"/>
                <w:szCs w:val="24"/>
              </w:rPr>
            </w:pPr>
          </w:p>
        </w:tc>
        <w:tc>
          <w:tcPr>
            <w:tcW w:w="1842" w:type="dxa"/>
            <w:vAlign w:val="top"/>
          </w:tcPr>
          <w:p>
            <w:pPr>
              <w:widowControl/>
              <w:spacing w:line="620" w:lineRule="atLeast"/>
              <w:jc w:val="left"/>
              <w:rPr>
                <w:rFonts w:ascii="黑体" w:hAnsi="黑体" w:eastAsia="黑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spacing w:line="620" w:lineRule="atLeast"/>
              <w:jc w:val="left"/>
              <w:rPr>
                <w:rFonts w:ascii="黑体" w:hAnsi="黑体" w:eastAsia="黑体" w:cs="宋体"/>
                <w:color w:val="000000"/>
                <w:kern w:val="0"/>
                <w:sz w:val="24"/>
                <w:szCs w:val="24"/>
              </w:rPr>
            </w:pPr>
          </w:p>
        </w:tc>
        <w:tc>
          <w:tcPr>
            <w:tcW w:w="2977" w:type="dxa"/>
            <w:vAlign w:val="top"/>
          </w:tcPr>
          <w:p>
            <w:pPr>
              <w:widowControl/>
              <w:spacing w:line="620" w:lineRule="atLeast"/>
              <w:jc w:val="left"/>
              <w:rPr>
                <w:rFonts w:ascii="黑体" w:hAnsi="黑体" w:eastAsia="黑体" w:cs="宋体"/>
                <w:color w:val="000000"/>
                <w:kern w:val="0"/>
                <w:sz w:val="24"/>
                <w:szCs w:val="24"/>
              </w:rPr>
            </w:pPr>
          </w:p>
        </w:tc>
        <w:tc>
          <w:tcPr>
            <w:tcW w:w="1559" w:type="dxa"/>
            <w:vAlign w:val="top"/>
          </w:tcPr>
          <w:p>
            <w:pPr>
              <w:widowControl/>
              <w:spacing w:line="620" w:lineRule="atLeast"/>
              <w:jc w:val="left"/>
              <w:rPr>
                <w:rFonts w:ascii="黑体" w:hAnsi="黑体" w:eastAsia="黑体" w:cs="宋体"/>
                <w:color w:val="000000"/>
                <w:kern w:val="0"/>
                <w:sz w:val="24"/>
                <w:szCs w:val="24"/>
              </w:rPr>
            </w:pPr>
          </w:p>
        </w:tc>
        <w:tc>
          <w:tcPr>
            <w:tcW w:w="1843" w:type="dxa"/>
            <w:vAlign w:val="top"/>
          </w:tcPr>
          <w:p>
            <w:pPr>
              <w:widowControl/>
              <w:spacing w:line="620" w:lineRule="atLeast"/>
              <w:jc w:val="left"/>
              <w:rPr>
                <w:rFonts w:ascii="黑体" w:hAnsi="黑体" w:eastAsia="黑体" w:cs="宋体"/>
                <w:color w:val="000000"/>
                <w:kern w:val="0"/>
                <w:sz w:val="24"/>
                <w:szCs w:val="24"/>
              </w:rPr>
            </w:pPr>
          </w:p>
        </w:tc>
        <w:tc>
          <w:tcPr>
            <w:tcW w:w="1842" w:type="dxa"/>
            <w:vAlign w:val="top"/>
          </w:tcPr>
          <w:p>
            <w:pPr>
              <w:widowControl/>
              <w:spacing w:line="620" w:lineRule="atLeast"/>
              <w:jc w:val="left"/>
              <w:rPr>
                <w:rFonts w:ascii="黑体" w:hAnsi="黑体" w:eastAsia="黑体" w:cs="宋体"/>
                <w:color w:val="000000"/>
                <w:kern w:val="0"/>
                <w:sz w:val="24"/>
                <w:szCs w:val="24"/>
              </w:rPr>
            </w:pPr>
          </w:p>
        </w:tc>
      </w:tr>
    </w:tbl>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注：此表由统计员根据谈判小组成员打分情况统计填报。</w:t>
      </w:r>
    </w:p>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统计员（签字）：                  监督员（签字）：    </w:t>
      </w:r>
    </w:p>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2020年10月16日</w:t>
      </w:r>
    </w:p>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left"/>
        <w:rPr>
          <w:rFonts w:ascii="仿宋_GB2312" w:hAnsi="宋体" w:eastAsia="仿宋_GB2312" w:cs="宋体"/>
          <w:color w:val="000000"/>
          <w:kern w:val="0"/>
          <w:sz w:val="30"/>
          <w:szCs w:val="30"/>
        </w:rPr>
      </w:pPr>
    </w:p>
    <w:p>
      <w:pPr>
        <w:widowControl/>
        <w:shd w:val="clear" w:color="auto" w:fill="FFFFFF"/>
        <w:spacing w:line="400" w:lineRule="exact"/>
        <w:jc w:val="center"/>
        <w:rPr>
          <w:rFonts w:hint="eastAsia" w:ascii="仿宋_GB2312" w:hAnsi="宋体" w:eastAsia="仿宋_GB2312" w:cs="宋体"/>
          <w:color w:val="000000"/>
          <w:kern w:val="0"/>
          <w:sz w:val="30"/>
          <w:szCs w:val="30"/>
        </w:rPr>
      </w:pPr>
    </w:p>
    <w:p>
      <w:pPr>
        <w:widowControl/>
        <w:shd w:val="clear" w:color="auto" w:fill="FFFFFF"/>
        <w:spacing w:line="400" w:lineRule="exact"/>
        <w:jc w:val="center"/>
        <w:rPr>
          <w:rFonts w:hint="eastAsia" w:ascii="仿宋_GB2312" w:hAnsi="宋体" w:eastAsia="仿宋_GB2312" w:cs="宋体"/>
          <w:color w:val="000000"/>
          <w:kern w:val="0"/>
          <w:sz w:val="30"/>
          <w:szCs w:val="30"/>
        </w:rPr>
      </w:pPr>
    </w:p>
    <w:p>
      <w:pPr>
        <w:widowControl/>
        <w:shd w:val="clear" w:color="auto" w:fill="FFFFFF"/>
        <w:spacing w:line="400" w:lineRule="exact"/>
        <w:jc w:val="center"/>
        <w:rPr>
          <w:rFonts w:hint="eastAsia" w:ascii="仿宋_GB2312" w:hAnsi="宋体" w:eastAsia="仿宋_GB2312" w:cs="宋体"/>
          <w:color w:val="000000"/>
          <w:kern w:val="0"/>
          <w:sz w:val="30"/>
          <w:szCs w:val="30"/>
        </w:rPr>
      </w:pPr>
    </w:p>
    <w:p>
      <w:pPr>
        <w:widowControl/>
        <w:shd w:val="clear" w:color="auto" w:fill="FFFFFF"/>
        <w:spacing w:line="400" w:lineRule="exact"/>
        <w:jc w:val="center"/>
        <w:rPr>
          <w:rFonts w:hint="eastAsia" w:ascii="仿宋_GB2312" w:hAnsi="宋体" w:eastAsia="仿宋_GB2312" w:cs="宋体"/>
          <w:color w:val="000000"/>
          <w:kern w:val="0"/>
          <w:sz w:val="30"/>
          <w:szCs w:val="30"/>
        </w:rPr>
      </w:pPr>
    </w:p>
    <w:p>
      <w:pPr>
        <w:widowControl/>
        <w:shd w:val="clear" w:color="auto" w:fill="FFFFFF"/>
        <w:spacing w:line="40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竞争性谈判结果报表</w:t>
      </w:r>
    </w:p>
    <w:p>
      <w:pPr>
        <w:widowControl/>
        <w:shd w:val="clear" w:color="auto" w:fill="FFFFFF"/>
        <w:spacing w:line="400" w:lineRule="exact"/>
        <w:jc w:val="center"/>
        <w:rPr>
          <w:rFonts w:ascii="宋体" w:hAnsi="宋体" w:cs="宋体"/>
          <w:color w:val="000000"/>
          <w:kern w:val="0"/>
          <w:sz w:val="18"/>
          <w:szCs w:val="18"/>
        </w:rPr>
      </w:pPr>
    </w:p>
    <w:tbl>
      <w:tblPr>
        <w:tblStyle w:val="8"/>
        <w:tblW w:w="11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14"/>
        <w:gridCol w:w="131"/>
        <w:gridCol w:w="2429"/>
        <w:gridCol w:w="20"/>
        <w:gridCol w:w="450"/>
        <w:gridCol w:w="1418"/>
        <w:gridCol w:w="1559"/>
        <w:gridCol w:w="781"/>
        <w:gridCol w:w="502"/>
        <w:gridCol w:w="170"/>
        <w:gridCol w:w="20"/>
        <w:gridCol w:w="28"/>
        <w:gridCol w:w="75"/>
        <w:gridCol w:w="195"/>
        <w:gridCol w:w="406"/>
        <w:gridCol w:w="1750"/>
        <w:gridCol w:w="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5"/>
          <w:wAfter w:w="2448" w:type="dxa"/>
          <w:trHeight w:val="433" w:hRule="atLeast"/>
        </w:trPr>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项目名称</w:t>
            </w:r>
          </w:p>
        </w:tc>
        <w:tc>
          <w:tcPr>
            <w:tcW w:w="7460"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80" w:lineRule="exact"/>
              <w:ind w:left="-1186" w:leftChars="-565"/>
              <w:jc w:val="center"/>
              <w:rPr>
                <w:rFonts w:ascii="仿宋_GB2312" w:hAnsi="宋体" w:eastAsia="仿宋_GB2312" w:cs="宋体"/>
                <w:kern w:val="0"/>
                <w:sz w:val="24"/>
              </w:rPr>
            </w:pPr>
            <w:r>
              <w:rPr>
                <w:rFonts w:hint="eastAsia" w:ascii="仿宋_GB2312" w:hAnsi="宋体" w:eastAsia="仿宋_GB2312" w:cs="宋体"/>
                <w:kern w:val="0"/>
                <w:sz w:val="24"/>
              </w:rPr>
              <w:t>2020中国·重庆潼南国际柠檬节开幕式（峰会）服务采购项目</w:t>
            </w:r>
          </w:p>
        </w:tc>
        <w:tc>
          <w:tcPr>
            <w:tcW w:w="48" w:type="dxa"/>
            <w:gridSpan w:val="2"/>
            <w:tcBorders>
              <w:top w:val="nil"/>
              <w:left w:val="single" w:color="auto" w:sz="4" w:space="0"/>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2178" w:type="dxa"/>
          <w:trHeight w:val="285" w:hRule="atLeast"/>
        </w:trPr>
        <w:tc>
          <w:tcPr>
            <w:tcW w:w="9074" w:type="dxa"/>
            <w:gridSpan w:val="10"/>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参加谈判供应商名单（按参加顺序）</w:t>
            </w:r>
          </w:p>
        </w:tc>
        <w:tc>
          <w:tcPr>
            <w:tcW w:w="318" w:type="dxa"/>
            <w:gridSpan w:val="4"/>
            <w:tcBorders>
              <w:top w:val="nil"/>
              <w:left w:val="single" w:color="auto" w:sz="4" w:space="0"/>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6"/>
          <w:wAfter w:w="2476" w:type="dxa"/>
          <w:trHeight w:val="285" w:hRule="atLeast"/>
        </w:trPr>
        <w:tc>
          <w:tcPr>
            <w:tcW w:w="6062" w:type="dxa"/>
            <w:gridSpan w:val="6"/>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供应商名称</w:t>
            </w:r>
          </w:p>
        </w:tc>
        <w:tc>
          <w:tcPr>
            <w:tcW w:w="155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响应报价</w:t>
            </w:r>
          </w:p>
        </w:tc>
        <w:tc>
          <w:tcPr>
            <w:tcW w:w="1453"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最后报价</w:t>
            </w:r>
          </w:p>
        </w:tc>
        <w:tc>
          <w:tcPr>
            <w:tcW w:w="20" w:type="dxa"/>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6"/>
          <w:wAfter w:w="2476" w:type="dxa"/>
          <w:trHeight w:val="285" w:hRule="atLeast"/>
        </w:trPr>
        <w:tc>
          <w:tcPr>
            <w:tcW w:w="6062" w:type="dxa"/>
            <w:gridSpan w:val="6"/>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仿宋_GB2312" w:hAnsi="宋体" w:eastAsia="仿宋_GB2312" w:cs="宋体"/>
                <w:kern w:val="0"/>
                <w:sz w:val="24"/>
              </w:rPr>
            </w:pPr>
          </w:p>
        </w:tc>
        <w:tc>
          <w:tcPr>
            <w:tcW w:w="155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仿宋_GB2312" w:hAnsi="宋体" w:eastAsia="仿宋_GB2312" w:cs="宋体"/>
                <w:kern w:val="0"/>
                <w:sz w:val="24"/>
              </w:rPr>
            </w:pPr>
          </w:p>
        </w:tc>
        <w:tc>
          <w:tcPr>
            <w:tcW w:w="1453"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仿宋_GB2312" w:hAnsi="宋体" w:eastAsia="仿宋_GB2312" w:cs="宋体"/>
                <w:kern w:val="0"/>
                <w:sz w:val="24"/>
              </w:rPr>
            </w:pPr>
          </w:p>
        </w:tc>
        <w:tc>
          <w:tcPr>
            <w:tcW w:w="20" w:type="dxa"/>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6"/>
          <w:wAfter w:w="2476" w:type="dxa"/>
          <w:trHeight w:val="285" w:hRule="atLeast"/>
        </w:trPr>
        <w:tc>
          <w:tcPr>
            <w:tcW w:w="6062"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p>
        </w:tc>
        <w:tc>
          <w:tcPr>
            <w:tcW w:w="145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6"/>
          <w:wAfter w:w="2476" w:type="dxa"/>
          <w:trHeight w:val="285" w:hRule="atLeast"/>
        </w:trPr>
        <w:tc>
          <w:tcPr>
            <w:tcW w:w="6062"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p>
        </w:tc>
        <w:tc>
          <w:tcPr>
            <w:tcW w:w="145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6"/>
          <w:wAfter w:w="2476" w:type="dxa"/>
          <w:trHeight w:val="285" w:hRule="atLeast"/>
        </w:trPr>
        <w:tc>
          <w:tcPr>
            <w:tcW w:w="6062"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仿宋_GB2312" w:hAnsi="宋体" w:eastAsia="仿宋_GB2312" w:cs="宋体"/>
                <w:kern w:val="0"/>
                <w:sz w:val="24"/>
              </w:rPr>
            </w:pPr>
            <w:r>
              <w:rPr>
                <w:rFonts w:hint="eastAsia" w:ascii="仿宋_GB2312" w:hAnsi="宋体" w:eastAsia="仿宋_GB2312" w:cs="宋体"/>
                <w:kern w:val="0"/>
                <w:sz w:val="24"/>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仿宋_GB2312" w:hAnsi="宋体" w:eastAsia="仿宋_GB2312" w:cs="宋体"/>
                <w:kern w:val="0"/>
                <w:sz w:val="24"/>
              </w:rPr>
            </w:pPr>
          </w:p>
        </w:tc>
        <w:tc>
          <w:tcPr>
            <w:tcW w:w="145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仿宋_GB2312" w:hAnsi="宋体" w:eastAsia="仿宋_GB2312" w:cs="宋体"/>
                <w:kern w:val="0"/>
                <w:sz w:val="24"/>
              </w:rPr>
            </w:pPr>
          </w:p>
        </w:tc>
        <w:tc>
          <w:tcPr>
            <w:tcW w:w="20" w:type="dxa"/>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5"/>
          <w:wAfter w:w="2448" w:type="dxa"/>
          <w:trHeight w:val="285" w:hRule="atLeast"/>
        </w:trPr>
        <w:tc>
          <w:tcPr>
            <w:tcW w:w="9074" w:type="dxa"/>
            <w:gridSpan w:val="10"/>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供应商评审得分</w:t>
            </w:r>
          </w:p>
        </w:tc>
        <w:tc>
          <w:tcPr>
            <w:tcW w:w="48" w:type="dxa"/>
            <w:gridSpan w:val="2"/>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5"/>
          <w:wAfter w:w="2448" w:type="dxa"/>
          <w:trHeight w:val="285" w:hRule="atLeast"/>
        </w:trPr>
        <w:tc>
          <w:tcPr>
            <w:tcW w:w="4644" w:type="dxa"/>
            <w:gridSpan w:val="5"/>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4"/>
              </w:rPr>
              <w:t>供应商名称</w:t>
            </w:r>
          </w:p>
        </w:tc>
        <w:tc>
          <w:tcPr>
            <w:tcW w:w="1418" w:type="dxa"/>
            <w:tcBorders>
              <w:top w:val="nil"/>
              <w:left w:val="nil"/>
              <w:bottom w:val="single" w:color="auto" w:sz="8"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价格得分</w:t>
            </w:r>
          </w:p>
        </w:tc>
        <w:tc>
          <w:tcPr>
            <w:tcW w:w="1559" w:type="dxa"/>
            <w:tcBorders>
              <w:top w:val="nil"/>
              <w:left w:val="single" w:color="auto" w:sz="4" w:space="0"/>
              <w:bottom w:val="single" w:color="auto" w:sz="8" w:space="0"/>
              <w:right w:val="single" w:color="auto" w:sz="4"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商务服务评分</w:t>
            </w:r>
          </w:p>
        </w:tc>
        <w:tc>
          <w:tcPr>
            <w:tcW w:w="1453" w:type="dxa"/>
            <w:gridSpan w:val="3"/>
            <w:tcBorders>
              <w:top w:val="nil"/>
              <w:left w:val="single" w:color="auto" w:sz="4" w:space="0"/>
              <w:bottom w:val="single" w:color="auto" w:sz="8" w:space="0"/>
              <w:right w:val="single" w:color="000000" w:sz="8" w:space="0"/>
            </w:tcBorders>
            <w:vAlign w:val="center"/>
          </w:tcPr>
          <w:p>
            <w:pPr>
              <w:widowControl/>
              <w:spacing w:line="480" w:lineRule="exact"/>
              <w:jc w:val="center"/>
              <w:rPr>
                <w:rFonts w:ascii="宋体" w:hAnsi="宋体" w:cs="宋体"/>
                <w:kern w:val="0"/>
                <w:sz w:val="24"/>
              </w:rPr>
            </w:pPr>
            <w:r>
              <w:rPr>
                <w:rFonts w:hint="eastAsia" w:ascii="宋体" w:hAnsi="宋体" w:cs="宋体"/>
                <w:kern w:val="0"/>
                <w:sz w:val="24"/>
              </w:rPr>
              <w:t>综合得分</w:t>
            </w:r>
          </w:p>
        </w:tc>
        <w:tc>
          <w:tcPr>
            <w:tcW w:w="48" w:type="dxa"/>
            <w:gridSpan w:val="2"/>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5"/>
          <w:wAfter w:w="2448" w:type="dxa"/>
          <w:trHeight w:val="285" w:hRule="atLeast"/>
        </w:trPr>
        <w:tc>
          <w:tcPr>
            <w:tcW w:w="4644" w:type="dxa"/>
            <w:gridSpan w:val="5"/>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p>
        </w:tc>
        <w:tc>
          <w:tcPr>
            <w:tcW w:w="1418" w:type="dxa"/>
            <w:tcBorders>
              <w:top w:val="nil"/>
              <w:left w:val="nil"/>
              <w:bottom w:val="single" w:color="auto" w:sz="8" w:space="0"/>
              <w:right w:val="single" w:color="auto" w:sz="4" w:space="0"/>
            </w:tcBorders>
            <w:vAlign w:val="center"/>
          </w:tcPr>
          <w:p>
            <w:pPr>
              <w:widowControl/>
              <w:spacing w:line="480" w:lineRule="exact"/>
              <w:jc w:val="center"/>
              <w:rPr>
                <w:rFonts w:ascii="宋体" w:hAnsi="宋体" w:cs="宋体"/>
                <w:kern w:val="0"/>
                <w:sz w:val="24"/>
              </w:rPr>
            </w:pPr>
          </w:p>
        </w:tc>
        <w:tc>
          <w:tcPr>
            <w:tcW w:w="1559" w:type="dxa"/>
            <w:tcBorders>
              <w:top w:val="nil"/>
              <w:left w:val="single" w:color="auto" w:sz="4" w:space="0"/>
              <w:bottom w:val="single" w:color="auto" w:sz="8" w:space="0"/>
              <w:right w:val="single" w:color="auto" w:sz="4" w:space="0"/>
            </w:tcBorders>
            <w:vAlign w:val="center"/>
          </w:tcPr>
          <w:p>
            <w:pPr>
              <w:widowControl/>
              <w:spacing w:line="480" w:lineRule="exact"/>
              <w:jc w:val="center"/>
              <w:rPr>
                <w:rFonts w:ascii="宋体" w:hAnsi="宋体" w:cs="宋体"/>
                <w:kern w:val="0"/>
                <w:sz w:val="24"/>
              </w:rPr>
            </w:pPr>
          </w:p>
        </w:tc>
        <w:tc>
          <w:tcPr>
            <w:tcW w:w="1453" w:type="dxa"/>
            <w:gridSpan w:val="3"/>
            <w:tcBorders>
              <w:top w:val="nil"/>
              <w:left w:val="single" w:color="auto" w:sz="4" w:space="0"/>
              <w:bottom w:val="single" w:color="auto" w:sz="8" w:space="0"/>
              <w:right w:val="single" w:color="000000" w:sz="8" w:space="0"/>
            </w:tcBorders>
            <w:vAlign w:val="center"/>
          </w:tcPr>
          <w:p>
            <w:pPr>
              <w:widowControl/>
              <w:spacing w:line="480" w:lineRule="exact"/>
              <w:jc w:val="center"/>
              <w:rPr>
                <w:rFonts w:ascii="宋体" w:hAnsi="宋体" w:cs="宋体"/>
                <w:kern w:val="0"/>
                <w:sz w:val="24"/>
              </w:rPr>
            </w:pPr>
          </w:p>
        </w:tc>
        <w:tc>
          <w:tcPr>
            <w:tcW w:w="48" w:type="dxa"/>
            <w:gridSpan w:val="2"/>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5"/>
          <w:wAfter w:w="2448" w:type="dxa"/>
          <w:trHeight w:val="285" w:hRule="atLeast"/>
        </w:trPr>
        <w:tc>
          <w:tcPr>
            <w:tcW w:w="4644" w:type="dxa"/>
            <w:gridSpan w:val="5"/>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p>
        </w:tc>
        <w:tc>
          <w:tcPr>
            <w:tcW w:w="1418" w:type="dxa"/>
            <w:tcBorders>
              <w:top w:val="nil"/>
              <w:left w:val="nil"/>
              <w:bottom w:val="single" w:color="auto" w:sz="8" w:space="0"/>
              <w:right w:val="single" w:color="auto" w:sz="4" w:space="0"/>
            </w:tcBorders>
            <w:vAlign w:val="center"/>
          </w:tcPr>
          <w:p>
            <w:pPr>
              <w:widowControl/>
              <w:spacing w:line="480" w:lineRule="exact"/>
              <w:jc w:val="center"/>
              <w:rPr>
                <w:rFonts w:ascii="宋体" w:hAnsi="宋体" w:cs="宋体"/>
                <w:kern w:val="0"/>
                <w:sz w:val="24"/>
              </w:rPr>
            </w:pPr>
          </w:p>
        </w:tc>
        <w:tc>
          <w:tcPr>
            <w:tcW w:w="1559" w:type="dxa"/>
            <w:tcBorders>
              <w:top w:val="nil"/>
              <w:left w:val="single" w:color="auto" w:sz="4" w:space="0"/>
              <w:bottom w:val="single" w:color="auto" w:sz="8" w:space="0"/>
              <w:right w:val="single" w:color="auto" w:sz="4" w:space="0"/>
            </w:tcBorders>
            <w:vAlign w:val="center"/>
          </w:tcPr>
          <w:p>
            <w:pPr>
              <w:widowControl/>
              <w:spacing w:line="480" w:lineRule="exact"/>
              <w:jc w:val="center"/>
              <w:rPr>
                <w:rFonts w:ascii="宋体" w:hAnsi="宋体" w:cs="宋体"/>
                <w:kern w:val="0"/>
                <w:sz w:val="24"/>
              </w:rPr>
            </w:pPr>
          </w:p>
        </w:tc>
        <w:tc>
          <w:tcPr>
            <w:tcW w:w="1453" w:type="dxa"/>
            <w:gridSpan w:val="3"/>
            <w:tcBorders>
              <w:top w:val="nil"/>
              <w:left w:val="single" w:color="auto" w:sz="4" w:space="0"/>
              <w:bottom w:val="single" w:color="auto" w:sz="8" w:space="0"/>
              <w:right w:val="single" w:color="000000" w:sz="8" w:space="0"/>
            </w:tcBorders>
            <w:vAlign w:val="center"/>
          </w:tcPr>
          <w:p>
            <w:pPr>
              <w:widowControl/>
              <w:spacing w:line="480" w:lineRule="exact"/>
              <w:jc w:val="center"/>
              <w:rPr>
                <w:rFonts w:ascii="宋体" w:hAnsi="宋体" w:cs="宋体"/>
                <w:kern w:val="0"/>
                <w:sz w:val="24"/>
              </w:rPr>
            </w:pPr>
          </w:p>
        </w:tc>
        <w:tc>
          <w:tcPr>
            <w:tcW w:w="48" w:type="dxa"/>
            <w:gridSpan w:val="2"/>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5"/>
          <w:wAfter w:w="2448" w:type="dxa"/>
          <w:trHeight w:val="285" w:hRule="atLeast"/>
        </w:trPr>
        <w:tc>
          <w:tcPr>
            <w:tcW w:w="4644" w:type="dxa"/>
            <w:gridSpan w:val="5"/>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p>
        </w:tc>
        <w:tc>
          <w:tcPr>
            <w:tcW w:w="1418" w:type="dxa"/>
            <w:tcBorders>
              <w:top w:val="nil"/>
              <w:left w:val="nil"/>
              <w:bottom w:val="single" w:color="auto" w:sz="8" w:space="0"/>
              <w:right w:val="single" w:color="auto" w:sz="4" w:space="0"/>
            </w:tcBorders>
            <w:vAlign w:val="center"/>
          </w:tcPr>
          <w:p>
            <w:pPr>
              <w:widowControl/>
              <w:spacing w:line="480" w:lineRule="exact"/>
              <w:jc w:val="center"/>
              <w:rPr>
                <w:rFonts w:ascii="宋体" w:hAnsi="宋体" w:cs="宋体"/>
                <w:kern w:val="0"/>
                <w:sz w:val="24"/>
              </w:rPr>
            </w:pPr>
          </w:p>
        </w:tc>
        <w:tc>
          <w:tcPr>
            <w:tcW w:w="1559" w:type="dxa"/>
            <w:tcBorders>
              <w:top w:val="nil"/>
              <w:left w:val="single" w:color="auto" w:sz="4" w:space="0"/>
              <w:bottom w:val="single" w:color="auto" w:sz="8" w:space="0"/>
              <w:right w:val="single" w:color="auto" w:sz="4" w:space="0"/>
            </w:tcBorders>
            <w:vAlign w:val="center"/>
          </w:tcPr>
          <w:p>
            <w:pPr>
              <w:widowControl/>
              <w:spacing w:line="480" w:lineRule="exact"/>
              <w:jc w:val="center"/>
              <w:rPr>
                <w:rFonts w:ascii="宋体" w:hAnsi="宋体" w:cs="宋体"/>
                <w:kern w:val="0"/>
                <w:sz w:val="24"/>
              </w:rPr>
            </w:pPr>
          </w:p>
        </w:tc>
        <w:tc>
          <w:tcPr>
            <w:tcW w:w="1453" w:type="dxa"/>
            <w:gridSpan w:val="3"/>
            <w:tcBorders>
              <w:top w:val="nil"/>
              <w:left w:val="single" w:color="auto" w:sz="4" w:space="0"/>
              <w:bottom w:val="single" w:color="auto" w:sz="8" w:space="0"/>
              <w:right w:val="single" w:color="000000" w:sz="8" w:space="0"/>
            </w:tcBorders>
            <w:vAlign w:val="center"/>
          </w:tcPr>
          <w:p>
            <w:pPr>
              <w:widowControl/>
              <w:spacing w:line="480" w:lineRule="exact"/>
              <w:jc w:val="center"/>
              <w:rPr>
                <w:rFonts w:ascii="宋体" w:hAnsi="宋体" w:cs="宋体"/>
                <w:kern w:val="0"/>
                <w:sz w:val="24"/>
              </w:rPr>
            </w:pPr>
          </w:p>
        </w:tc>
        <w:tc>
          <w:tcPr>
            <w:tcW w:w="48" w:type="dxa"/>
            <w:gridSpan w:val="2"/>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5"/>
          <w:wAfter w:w="2448" w:type="dxa"/>
          <w:trHeight w:val="285" w:hRule="atLeast"/>
        </w:trPr>
        <w:tc>
          <w:tcPr>
            <w:tcW w:w="4644" w:type="dxa"/>
            <w:gridSpan w:val="5"/>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4"/>
              </w:rPr>
              <w:t>……</w:t>
            </w:r>
          </w:p>
        </w:tc>
        <w:tc>
          <w:tcPr>
            <w:tcW w:w="1418" w:type="dxa"/>
            <w:tcBorders>
              <w:top w:val="nil"/>
              <w:left w:val="nil"/>
              <w:bottom w:val="single" w:color="auto" w:sz="8" w:space="0"/>
              <w:right w:val="single" w:color="auto" w:sz="4" w:space="0"/>
            </w:tcBorders>
            <w:vAlign w:val="center"/>
          </w:tcPr>
          <w:p>
            <w:pPr>
              <w:widowControl/>
              <w:spacing w:line="480" w:lineRule="exact"/>
              <w:jc w:val="center"/>
              <w:rPr>
                <w:rFonts w:ascii="宋体" w:hAnsi="宋体" w:cs="宋体"/>
                <w:kern w:val="0"/>
                <w:sz w:val="24"/>
              </w:rPr>
            </w:pPr>
          </w:p>
        </w:tc>
        <w:tc>
          <w:tcPr>
            <w:tcW w:w="1559" w:type="dxa"/>
            <w:tcBorders>
              <w:top w:val="nil"/>
              <w:left w:val="single" w:color="auto" w:sz="4" w:space="0"/>
              <w:bottom w:val="single" w:color="auto" w:sz="8" w:space="0"/>
              <w:right w:val="single" w:color="auto" w:sz="4" w:space="0"/>
            </w:tcBorders>
            <w:vAlign w:val="center"/>
          </w:tcPr>
          <w:p>
            <w:pPr>
              <w:widowControl/>
              <w:spacing w:line="480" w:lineRule="exact"/>
              <w:jc w:val="center"/>
              <w:rPr>
                <w:rFonts w:ascii="宋体" w:hAnsi="宋体" w:cs="宋体"/>
                <w:kern w:val="0"/>
                <w:sz w:val="24"/>
              </w:rPr>
            </w:pPr>
          </w:p>
        </w:tc>
        <w:tc>
          <w:tcPr>
            <w:tcW w:w="1453" w:type="dxa"/>
            <w:gridSpan w:val="3"/>
            <w:tcBorders>
              <w:top w:val="nil"/>
              <w:left w:val="single" w:color="auto" w:sz="4" w:space="0"/>
              <w:bottom w:val="single" w:color="auto" w:sz="8" w:space="0"/>
              <w:right w:val="single" w:color="000000" w:sz="8" w:space="0"/>
            </w:tcBorders>
            <w:vAlign w:val="center"/>
          </w:tcPr>
          <w:p>
            <w:pPr>
              <w:widowControl/>
              <w:spacing w:line="480" w:lineRule="exact"/>
              <w:jc w:val="center"/>
              <w:rPr>
                <w:rFonts w:ascii="宋体" w:hAnsi="宋体" w:cs="宋体"/>
                <w:kern w:val="0"/>
                <w:sz w:val="24"/>
              </w:rPr>
            </w:pPr>
          </w:p>
        </w:tc>
        <w:tc>
          <w:tcPr>
            <w:tcW w:w="48" w:type="dxa"/>
            <w:gridSpan w:val="2"/>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5"/>
          <w:wAfter w:w="2448" w:type="dxa"/>
          <w:trHeight w:val="285" w:hRule="atLeast"/>
        </w:trPr>
        <w:tc>
          <w:tcPr>
            <w:tcW w:w="9074" w:type="dxa"/>
            <w:gridSpan w:val="10"/>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仿宋_GB2312" w:hAnsi="宋体" w:eastAsia="仿宋_GB2312" w:cs="宋体"/>
                <w:kern w:val="0"/>
                <w:sz w:val="24"/>
              </w:rPr>
              <w:t>本次采购是否需要终止：    □是     □否</w:t>
            </w:r>
          </w:p>
        </w:tc>
        <w:tc>
          <w:tcPr>
            <w:tcW w:w="48" w:type="dxa"/>
            <w:gridSpan w:val="2"/>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5"/>
          <w:wAfter w:w="2448" w:type="dxa"/>
          <w:trHeight w:val="285" w:hRule="atLeast"/>
        </w:trPr>
        <w:tc>
          <w:tcPr>
            <w:tcW w:w="174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终止原因</w:t>
            </w:r>
          </w:p>
        </w:tc>
        <w:tc>
          <w:tcPr>
            <w:tcW w:w="7329" w:type="dxa"/>
            <w:gridSpan w:val="8"/>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 </w:t>
            </w:r>
          </w:p>
        </w:tc>
        <w:tc>
          <w:tcPr>
            <w:tcW w:w="48" w:type="dxa"/>
            <w:gridSpan w:val="2"/>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3"/>
          <w:wAfter w:w="2178" w:type="dxa"/>
          <w:trHeight w:val="285" w:hRule="atLeast"/>
        </w:trPr>
        <w:tc>
          <w:tcPr>
            <w:tcW w:w="9074" w:type="dxa"/>
            <w:gridSpan w:val="10"/>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推荐成交候选供应商名单（按得分排序）</w:t>
            </w:r>
          </w:p>
        </w:tc>
        <w:tc>
          <w:tcPr>
            <w:tcW w:w="318" w:type="dxa"/>
            <w:gridSpan w:val="4"/>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6"/>
          <w:wAfter w:w="2476" w:type="dxa"/>
          <w:trHeight w:val="285" w:hRule="atLeast"/>
        </w:trPr>
        <w:tc>
          <w:tcPr>
            <w:tcW w:w="174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供应商1</w:t>
            </w:r>
          </w:p>
        </w:tc>
        <w:tc>
          <w:tcPr>
            <w:tcW w:w="7329"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6"/>
          <w:wAfter w:w="2476" w:type="dxa"/>
          <w:trHeight w:val="345" w:hRule="atLeast"/>
        </w:trPr>
        <w:tc>
          <w:tcPr>
            <w:tcW w:w="174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供应商2</w:t>
            </w:r>
          </w:p>
        </w:tc>
        <w:tc>
          <w:tcPr>
            <w:tcW w:w="7329"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6"/>
          <w:wAfter w:w="2476" w:type="dxa"/>
          <w:trHeight w:val="270" w:hRule="atLeast"/>
        </w:trPr>
        <w:tc>
          <w:tcPr>
            <w:tcW w:w="174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供应商3</w:t>
            </w:r>
          </w:p>
        </w:tc>
        <w:tc>
          <w:tcPr>
            <w:tcW w:w="7329"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 </w:t>
            </w:r>
          </w:p>
        </w:tc>
        <w:tc>
          <w:tcPr>
            <w:tcW w:w="20" w:type="dxa"/>
            <w:tcBorders>
              <w:top w:val="nil"/>
              <w:left w:val="nil"/>
              <w:bottom w:val="single" w:color="auto" w:sz="8" w:space="0"/>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7"/>
          <w:wAfter w:w="2496" w:type="dxa"/>
          <w:trHeight w:val="285" w:hRule="atLeast"/>
        </w:trPr>
        <w:tc>
          <w:tcPr>
            <w:tcW w:w="174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成交供应商</w:t>
            </w:r>
          </w:p>
        </w:tc>
        <w:tc>
          <w:tcPr>
            <w:tcW w:w="4317"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仿宋_GB2312" w:hAnsi="宋体" w:eastAsia="仿宋_GB2312" w:cs="宋体"/>
                <w:kern w:val="0"/>
                <w:sz w:val="24"/>
              </w:rPr>
              <w:t> </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仿宋_GB2312" w:hAnsi="宋体" w:eastAsia="仿宋_GB2312" w:cs="宋体"/>
                <w:kern w:val="0"/>
                <w:sz w:val="24"/>
              </w:rPr>
              <w:t>成交价</w:t>
            </w:r>
          </w:p>
        </w:tc>
        <w:tc>
          <w:tcPr>
            <w:tcW w:w="1453" w:type="dxa"/>
            <w:gridSpan w:val="3"/>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仿宋_GB2312" w:hAnsi="宋体" w:eastAsia="仿宋_GB2312"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5"/>
          <w:wAfter w:w="2448" w:type="dxa"/>
          <w:trHeight w:val="1205" w:hRule="atLeast"/>
        </w:trPr>
        <w:tc>
          <w:tcPr>
            <w:tcW w:w="9074" w:type="dxa"/>
            <w:gridSpan w:val="10"/>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谈判小组成员（签字）：</w:t>
            </w:r>
          </w:p>
          <w:p>
            <w:pPr>
              <w:widowControl/>
              <w:spacing w:line="480" w:lineRule="exact"/>
              <w:jc w:val="left"/>
              <w:rPr>
                <w:rFonts w:ascii="仿宋_GB2312" w:hAnsi="宋体" w:eastAsia="仿宋_GB2312" w:cs="宋体"/>
                <w:kern w:val="0"/>
                <w:sz w:val="24"/>
              </w:rPr>
            </w:pPr>
          </w:p>
          <w:p>
            <w:pPr>
              <w:widowControl/>
              <w:spacing w:line="480" w:lineRule="exact"/>
              <w:jc w:val="left"/>
              <w:rPr>
                <w:rFonts w:ascii="宋体" w:hAnsi="宋体" w:cs="宋体"/>
                <w:kern w:val="0"/>
                <w:sz w:val="24"/>
              </w:rPr>
            </w:pPr>
            <w:r>
              <w:rPr>
                <w:rFonts w:hint="eastAsia" w:ascii="仿宋_GB2312" w:hAnsi="宋体" w:eastAsia="仿宋_GB2312" w:cs="宋体"/>
                <w:kern w:val="0"/>
                <w:sz w:val="24"/>
              </w:rPr>
              <w:t>主持人（签字）：</w:t>
            </w:r>
          </w:p>
        </w:tc>
        <w:tc>
          <w:tcPr>
            <w:tcW w:w="48" w:type="dxa"/>
            <w:gridSpan w:val="2"/>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5"/>
          <w:wAfter w:w="2448" w:type="dxa"/>
          <w:trHeight w:val="393" w:hRule="atLeast"/>
        </w:trPr>
        <w:tc>
          <w:tcPr>
            <w:tcW w:w="9074" w:type="dxa"/>
            <w:gridSpan w:val="10"/>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日期：2020年10月16日</w:t>
            </w:r>
          </w:p>
        </w:tc>
        <w:tc>
          <w:tcPr>
            <w:tcW w:w="48" w:type="dxa"/>
            <w:gridSpan w:val="2"/>
            <w:tcBorders>
              <w:top w:val="nil"/>
              <w:left w:val="nil"/>
              <w:bottom w:val="nil"/>
              <w:right w:val="nil"/>
            </w:tcBorders>
            <w:vAlign w:val="center"/>
          </w:tcPr>
          <w:p>
            <w:pPr>
              <w:widowControl/>
              <w:spacing w:line="480" w:lineRule="exact"/>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614" w:type="dxa"/>
            <w:tcBorders>
              <w:top w:val="nil"/>
              <w:left w:val="nil"/>
              <w:bottom w:val="nil"/>
              <w:right w:val="nil"/>
            </w:tcBorders>
            <w:vAlign w:val="center"/>
          </w:tcPr>
          <w:p>
            <w:pPr>
              <w:widowControl/>
              <w:spacing w:line="480" w:lineRule="exact"/>
              <w:jc w:val="left"/>
              <w:rPr>
                <w:rFonts w:ascii="宋体" w:hAnsi="宋体" w:cs="宋体"/>
                <w:kern w:val="0"/>
                <w:sz w:val="1"/>
                <w:szCs w:val="18"/>
              </w:rPr>
            </w:pPr>
          </w:p>
        </w:tc>
        <w:tc>
          <w:tcPr>
            <w:tcW w:w="2560" w:type="dxa"/>
            <w:gridSpan w:val="2"/>
            <w:tcBorders>
              <w:top w:val="nil"/>
              <w:left w:val="nil"/>
              <w:bottom w:val="nil"/>
              <w:right w:val="nil"/>
            </w:tcBorders>
            <w:vAlign w:val="center"/>
          </w:tcPr>
          <w:p>
            <w:pPr>
              <w:widowControl/>
              <w:spacing w:line="480" w:lineRule="exact"/>
              <w:jc w:val="left"/>
              <w:rPr>
                <w:rFonts w:ascii="宋体" w:hAnsi="宋体" w:cs="宋体"/>
                <w:kern w:val="0"/>
                <w:sz w:val="1"/>
                <w:szCs w:val="18"/>
              </w:rPr>
            </w:pPr>
          </w:p>
        </w:tc>
        <w:tc>
          <w:tcPr>
            <w:tcW w:w="20" w:type="dxa"/>
            <w:tcBorders>
              <w:top w:val="nil"/>
              <w:left w:val="nil"/>
              <w:bottom w:val="nil"/>
              <w:right w:val="nil"/>
            </w:tcBorders>
            <w:vAlign w:val="center"/>
          </w:tcPr>
          <w:p>
            <w:pPr>
              <w:widowControl/>
              <w:spacing w:line="480" w:lineRule="exact"/>
              <w:jc w:val="left"/>
              <w:rPr>
                <w:rFonts w:ascii="宋体" w:hAnsi="宋体" w:cs="宋体"/>
                <w:kern w:val="0"/>
                <w:sz w:val="1"/>
                <w:szCs w:val="18"/>
              </w:rPr>
            </w:pPr>
          </w:p>
        </w:tc>
        <w:tc>
          <w:tcPr>
            <w:tcW w:w="4208" w:type="dxa"/>
            <w:gridSpan w:val="4"/>
            <w:tcBorders>
              <w:top w:val="nil"/>
              <w:left w:val="nil"/>
              <w:bottom w:val="nil"/>
              <w:right w:val="nil"/>
            </w:tcBorders>
            <w:vAlign w:val="center"/>
          </w:tcPr>
          <w:p>
            <w:pPr>
              <w:widowControl/>
              <w:spacing w:line="480" w:lineRule="exact"/>
              <w:jc w:val="left"/>
              <w:rPr>
                <w:rFonts w:ascii="宋体" w:hAnsi="宋体" w:cs="宋体"/>
                <w:kern w:val="0"/>
                <w:sz w:val="1"/>
                <w:szCs w:val="18"/>
              </w:rPr>
            </w:pPr>
          </w:p>
        </w:tc>
        <w:tc>
          <w:tcPr>
            <w:tcW w:w="502" w:type="dxa"/>
            <w:tcBorders>
              <w:top w:val="nil"/>
              <w:left w:val="nil"/>
              <w:bottom w:val="nil"/>
              <w:right w:val="nil"/>
            </w:tcBorders>
            <w:vAlign w:val="center"/>
          </w:tcPr>
          <w:p>
            <w:pPr>
              <w:widowControl/>
              <w:spacing w:line="480" w:lineRule="exact"/>
              <w:jc w:val="left"/>
              <w:rPr>
                <w:rFonts w:ascii="宋体" w:hAnsi="宋体" w:cs="宋体"/>
                <w:kern w:val="0"/>
                <w:sz w:val="1"/>
                <w:szCs w:val="18"/>
              </w:rPr>
            </w:pPr>
          </w:p>
        </w:tc>
        <w:tc>
          <w:tcPr>
            <w:tcW w:w="293" w:type="dxa"/>
            <w:gridSpan w:val="4"/>
            <w:tcBorders>
              <w:top w:val="nil"/>
              <w:left w:val="nil"/>
              <w:bottom w:val="nil"/>
              <w:right w:val="nil"/>
            </w:tcBorders>
            <w:vAlign w:val="center"/>
          </w:tcPr>
          <w:p>
            <w:pPr>
              <w:widowControl/>
              <w:spacing w:line="480" w:lineRule="exact"/>
              <w:jc w:val="left"/>
              <w:rPr>
                <w:rFonts w:ascii="宋体" w:hAnsi="宋体" w:cs="宋体"/>
                <w:kern w:val="0"/>
                <w:sz w:val="1"/>
                <w:szCs w:val="18"/>
              </w:rPr>
            </w:pPr>
          </w:p>
        </w:tc>
        <w:tc>
          <w:tcPr>
            <w:tcW w:w="601" w:type="dxa"/>
            <w:gridSpan w:val="2"/>
            <w:tcBorders>
              <w:top w:val="nil"/>
              <w:left w:val="nil"/>
              <w:bottom w:val="nil"/>
              <w:right w:val="nil"/>
            </w:tcBorders>
            <w:vAlign w:val="center"/>
          </w:tcPr>
          <w:p>
            <w:pPr>
              <w:widowControl/>
              <w:spacing w:line="480" w:lineRule="exact"/>
              <w:jc w:val="left"/>
              <w:rPr>
                <w:rFonts w:ascii="宋体" w:hAnsi="宋体" w:cs="宋体"/>
                <w:kern w:val="0"/>
                <w:sz w:val="1"/>
                <w:szCs w:val="18"/>
              </w:rPr>
            </w:pPr>
          </w:p>
        </w:tc>
        <w:tc>
          <w:tcPr>
            <w:tcW w:w="1750" w:type="dxa"/>
            <w:tcBorders>
              <w:top w:val="nil"/>
              <w:left w:val="nil"/>
              <w:bottom w:val="nil"/>
              <w:right w:val="nil"/>
            </w:tcBorders>
            <w:vAlign w:val="center"/>
          </w:tcPr>
          <w:p>
            <w:pPr>
              <w:widowControl/>
              <w:spacing w:line="480" w:lineRule="exact"/>
              <w:jc w:val="left"/>
              <w:rPr>
                <w:rFonts w:ascii="宋体" w:hAnsi="宋体" w:cs="宋体"/>
                <w:kern w:val="0"/>
                <w:sz w:val="1"/>
                <w:szCs w:val="18"/>
              </w:rPr>
            </w:pPr>
          </w:p>
        </w:tc>
        <w:tc>
          <w:tcPr>
            <w:tcW w:w="22" w:type="dxa"/>
            <w:tcBorders>
              <w:top w:val="nil"/>
              <w:left w:val="nil"/>
              <w:bottom w:val="nil"/>
              <w:right w:val="nil"/>
            </w:tcBorders>
            <w:vAlign w:val="center"/>
          </w:tcPr>
          <w:p>
            <w:pPr>
              <w:widowControl/>
              <w:spacing w:line="480" w:lineRule="exact"/>
              <w:jc w:val="left"/>
              <w:rPr>
                <w:rFonts w:ascii="宋体" w:hAnsi="宋体" w:cs="宋体"/>
                <w:kern w:val="0"/>
                <w:sz w:val="1"/>
                <w:szCs w:val="18"/>
              </w:rPr>
            </w:pPr>
          </w:p>
        </w:tc>
      </w:tr>
    </w:tbl>
    <w:p>
      <w:pPr>
        <w:spacing w:line="500" w:lineRule="exact"/>
        <w:rPr>
          <w:rFonts w:ascii="仿宋" w:hAnsi="仿宋" w:eastAsia="仿宋"/>
          <w:sz w:val="30"/>
          <w:szCs w:val="30"/>
        </w:rPr>
      </w:pPr>
      <w:r>
        <w:rPr>
          <w:rFonts w:hint="eastAsia" w:ascii="仿宋" w:hAnsi="仿宋" w:eastAsia="仿宋"/>
          <w:sz w:val="30"/>
          <w:szCs w:val="30"/>
        </w:rPr>
        <w:t>注：此表反映竞争性谈判结果，由谈判小组成员签字认可。</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183772880">
    <w:nsid w:val="F95F4ED0"/>
    <w:multiLevelType w:val="singleLevel"/>
    <w:tmpl w:val="F95F4ED0"/>
    <w:lvl w:ilvl="0" w:tentative="1">
      <w:start w:val="4"/>
      <w:numFmt w:val="chineseCounting"/>
      <w:suff w:val="nothing"/>
      <w:lvlText w:val="%1、"/>
      <w:lvlJc w:val="left"/>
      <w:rPr>
        <w:rFonts w:hint="eastAsia"/>
      </w:rPr>
    </w:lvl>
  </w:abstractNum>
  <w:abstractNum w:abstractNumId="5447822">
    <w:nsid w:val="0053208E"/>
    <w:multiLevelType w:val="multilevel"/>
    <w:tmpl w:val="0053208E"/>
    <w:lvl w:ilvl="0" w:tentative="1">
      <w:start w:val="1"/>
      <w:numFmt w:val="japaneseCounting"/>
      <w:lvlText w:val="%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63769900">
    <w:nsid w:val="2790532C"/>
    <w:multiLevelType w:val="singleLevel"/>
    <w:tmpl w:val="2790532C"/>
    <w:lvl w:ilvl="0" w:tentative="1">
      <w:start w:val="1"/>
      <w:numFmt w:val="decimal"/>
      <w:suff w:val="nothing"/>
      <w:lvlText w:val="%1、"/>
      <w:lvlJc w:val="left"/>
    </w:lvl>
  </w:abstractNum>
  <w:abstractNum w:abstractNumId="2839046184">
    <w:nsid w:val="A9386828"/>
    <w:multiLevelType w:val="singleLevel"/>
    <w:tmpl w:val="A9386828"/>
    <w:lvl w:ilvl="0" w:tentative="1">
      <w:start w:val="2"/>
      <w:numFmt w:val="decimal"/>
      <w:suff w:val="nothing"/>
      <w:lvlText w:val="（%1）"/>
      <w:lvlJc w:val="left"/>
    </w:lvl>
  </w:abstractNum>
  <w:num w:numId="1">
    <w:abstractNumId w:val="4183772880"/>
  </w:num>
  <w:num w:numId="2">
    <w:abstractNumId w:val="663769900"/>
  </w:num>
  <w:num w:numId="3">
    <w:abstractNumId w:val="2839046184"/>
  </w:num>
  <w:num w:numId="4">
    <w:abstractNumId w:val="54478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22F0D"/>
    <w:rsid w:val="00016F58"/>
    <w:rsid w:val="000803C5"/>
    <w:rsid w:val="00090974"/>
    <w:rsid w:val="00092A42"/>
    <w:rsid w:val="00110471"/>
    <w:rsid w:val="001B6226"/>
    <w:rsid w:val="001F005C"/>
    <w:rsid w:val="001F366C"/>
    <w:rsid w:val="00200366"/>
    <w:rsid w:val="002A0A6C"/>
    <w:rsid w:val="002E29D1"/>
    <w:rsid w:val="004507F3"/>
    <w:rsid w:val="00453BFE"/>
    <w:rsid w:val="00457ED1"/>
    <w:rsid w:val="0049713B"/>
    <w:rsid w:val="00561D16"/>
    <w:rsid w:val="005C5536"/>
    <w:rsid w:val="00604DA6"/>
    <w:rsid w:val="006564C7"/>
    <w:rsid w:val="006C01B2"/>
    <w:rsid w:val="006D317F"/>
    <w:rsid w:val="0070435A"/>
    <w:rsid w:val="00734CCB"/>
    <w:rsid w:val="007C326F"/>
    <w:rsid w:val="00822F0D"/>
    <w:rsid w:val="00857363"/>
    <w:rsid w:val="0093214D"/>
    <w:rsid w:val="00971F3F"/>
    <w:rsid w:val="009A2C51"/>
    <w:rsid w:val="009C5D3A"/>
    <w:rsid w:val="00A4459B"/>
    <w:rsid w:val="00B651A5"/>
    <w:rsid w:val="00C15A94"/>
    <w:rsid w:val="00C2087D"/>
    <w:rsid w:val="00C25F1B"/>
    <w:rsid w:val="00C415D1"/>
    <w:rsid w:val="00CD7B57"/>
    <w:rsid w:val="00CE264F"/>
    <w:rsid w:val="00D00358"/>
    <w:rsid w:val="00D52DE8"/>
    <w:rsid w:val="00DB781B"/>
    <w:rsid w:val="00DD1179"/>
    <w:rsid w:val="00E45D6A"/>
    <w:rsid w:val="00E715E6"/>
    <w:rsid w:val="00E74AD2"/>
    <w:rsid w:val="00F00FC5"/>
    <w:rsid w:val="00F225E7"/>
    <w:rsid w:val="00F76856"/>
    <w:rsid w:val="00FE50C2"/>
    <w:rsid w:val="01123FED"/>
    <w:rsid w:val="1FAF38BD"/>
    <w:rsid w:val="375B2175"/>
    <w:rsid w:val="3A4446AE"/>
    <w:rsid w:val="49846E79"/>
    <w:rsid w:val="6D7B5384"/>
    <w:rsid w:val="78F1377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qFormat/>
    <w:uiPriority w:val="0"/>
    <w:pPr>
      <w:keepNext/>
      <w:keepLines/>
      <w:spacing w:line="413" w:lineRule="auto"/>
      <w:outlineLvl w:val="2"/>
    </w:pPr>
    <w:rPr>
      <w:b/>
      <w:sz w:val="32"/>
    </w:rPr>
  </w:style>
  <w:style w:type="character" w:default="1" w:styleId="7">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Body Text Indent"/>
    <w:basedOn w:val="1"/>
    <w:link w:val="12"/>
    <w:qFormat/>
    <w:uiPriority w:val="0"/>
    <w:pPr>
      <w:spacing w:after="120"/>
      <w:ind w:left="420" w:leftChars="200"/>
    </w:pPr>
    <w:rPr>
      <w:rFonts w:ascii="Times New Roman" w:hAnsi="Times New Roman" w:eastAsia="宋体" w:cs="Times New Roman"/>
      <w:sz w:val="28"/>
      <w:szCs w:val="20"/>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正文文本缩进 Char"/>
    <w:basedOn w:val="7"/>
    <w:link w:val="3"/>
    <w:qFormat/>
    <w:uiPriority w:val="0"/>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1648</Words>
  <Characters>9400</Characters>
  <Lines>78</Lines>
  <Paragraphs>22</Paragraphs>
  <TotalTime>0</TotalTime>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2020-10-13T06:50:00Z</dcterms:created>
  <dc:creator>hp</dc:creator>
  <cp:lastModifiedBy>zq</cp:lastModifiedBy>
  <cp:lastPrinted>2020-10-13T06:27:00Z</cp:lastPrinted>
  <dcterms:modified xsi:type="dcterms:W3CDTF">2020-10-13T08:07:03Z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